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83AC3" w14:textId="2FE2DA50" w:rsidR="005B251E" w:rsidRDefault="00FE04EB" w:rsidP="00FE04EB">
      <w:pPr>
        <w:jc w:val="center"/>
        <w:rPr>
          <w:b/>
          <w:bCs/>
          <w:u w:val="single"/>
        </w:rPr>
      </w:pPr>
      <w:r w:rsidRPr="00FE04EB">
        <w:rPr>
          <w:b/>
          <w:bCs/>
          <w:u w:val="single"/>
        </w:rPr>
        <w:t xml:space="preserve">Annual SLOAC </w:t>
      </w:r>
      <w:r>
        <w:rPr>
          <w:b/>
          <w:bCs/>
          <w:u w:val="single"/>
        </w:rPr>
        <w:t>Summary Report</w:t>
      </w:r>
      <w:r w:rsidRPr="00FE04EB">
        <w:rPr>
          <w:b/>
          <w:bCs/>
          <w:u w:val="single"/>
        </w:rPr>
        <w:t xml:space="preserve"> for </w:t>
      </w:r>
      <w:r w:rsidR="00FE50B3" w:rsidRPr="00FE04EB">
        <w:rPr>
          <w:b/>
          <w:bCs/>
          <w:u w:val="single"/>
        </w:rPr>
        <w:t>the year</w:t>
      </w:r>
      <w:r w:rsidRPr="00FE04EB">
        <w:rPr>
          <w:b/>
          <w:bCs/>
          <w:u w:val="single"/>
        </w:rPr>
        <w:t xml:space="preserve"> 202</w:t>
      </w:r>
      <w:r w:rsidR="00345600">
        <w:rPr>
          <w:b/>
          <w:bCs/>
          <w:u w:val="single"/>
        </w:rPr>
        <w:t>4</w:t>
      </w:r>
      <w:r w:rsidRPr="00FE04EB">
        <w:rPr>
          <w:b/>
          <w:bCs/>
          <w:u w:val="single"/>
        </w:rPr>
        <w:t>-202</w:t>
      </w:r>
      <w:r w:rsidR="00345600">
        <w:rPr>
          <w:b/>
          <w:bCs/>
          <w:u w:val="single"/>
        </w:rPr>
        <w:t>5</w:t>
      </w:r>
      <w:r w:rsidR="0023685D">
        <w:rPr>
          <w:b/>
          <w:bCs/>
          <w:u w:val="single"/>
        </w:rPr>
        <w:t xml:space="preserve"> (Presented by George Bonnand)</w:t>
      </w:r>
    </w:p>
    <w:p w14:paraId="49257F57" w14:textId="77777777" w:rsidR="00F65D95" w:rsidRDefault="00F65D95" w:rsidP="00FE04EB">
      <w:pPr>
        <w:jc w:val="center"/>
        <w:rPr>
          <w:b/>
          <w:bCs/>
          <w:u w:val="single"/>
        </w:rPr>
      </w:pPr>
    </w:p>
    <w:p w14:paraId="30707B5C" w14:textId="56DB3F03" w:rsidR="00FE04EB" w:rsidRDefault="00FE04EB" w:rsidP="00FE04EB">
      <w:pPr>
        <w:rPr>
          <w:b/>
          <w:bCs/>
        </w:rPr>
      </w:pPr>
      <w:r w:rsidRPr="00FE04EB">
        <w:rPr>
          <w:b/>
          <w:bCs/>
        </w:rPr>
        <w:t>Summary Report</w:t>
      </w:r>
      <w:r w:rsidR="0029142E">
        <w:rPr>
          <w:b/>
          <w:bCs/>
        </w:rPr>
        <w:t xml:space="preserve"> (as of </w:t>
      </w:r>
      <w:r w:rsidR="00D2167F">
        <w:rPr>
          <w:b/>
          <w:bCs/>
        </w:rPr>
        <w:t>4-12-25</w:t>
      </w:r>
      <w:r w:rsidR="0029142E">
        <w:rPr>
          <w:b/>
          <w:bCs/>
        </w:rPr>
        <w:t>)</w:t>
      </w:r>
      <w:r w:rsidR="00364084">
        <w:rPr>
          <w:b/>
          <w:bCs/>
        </w:rPr>
        <w:t xml:space="preserve">  (Note: </w:t>
      </w:r>
      <w:hyperlink r:id="rId7" w:history="1">
        <w:r w:rsidR="00364084" w:rsidRPr="00364084">
          <w:rPr>
            <w:rStyle w:val="Hyperlink"/>
            <w:b/>
            <w:bCs/>
          </w:rPr>
          <w:t>Student Learning Outcomes | Fullerton College (fullcoll.edu)</w:t>
        </w:r>
      </w:hyperlink>
      <w:r w:rsidR="00364084">
        <w:rPr>
          <w:b/>
          <w:bCs/>
        </w:rPr>
        <w:t>)</w:t>
      </w:r>
    </w:p>
    <w:p w14:paraId="2B189FA7" w14:textId="0862CF18" w:rsidR="00FE04EB" w:rsidRDefault="00FE04EB" w:rsidP="00FE04EB">
      <w:r w:rsidRPr="00FE04EB">
        <w:t>The</w:t>
      </w:r>
      <w:r>
        <w:t xml:space="preserve"> following is a summary of the items that the SLOAC committee has done over the past 202</w:t>
      </w:r>
      <w:r w:rsidR="00F65D95">
        <w:t>4</w:t>
      </w:r>
      <w:r>
        <w:t>-2</w:t>
      </w:r>
      <w:r w:rsidR="00345600">
        <w:t>5</w:t>
      </w:r>
      <w:r>
        <w:t xml:space="preserve"> academic year.</w:t>
      </w:r>
    </w:p>
    <w:p w14:paraId="045F44E9" w14:textId="31FB3BF5" w:rsidR="00E81C15" w:rsidRDefault="00E81C15" w:rsidP="00FE04EB">
      <w:pPr>
        <w:pStyle w:val="ListParagraph"/>
        <w:numPr>
          <w:ilvl w:val="0"/>
          <w:numId w:val="1"/>
        </w:numPr>
      </w:pPr>
      <w:r>
        <w:t xml:space="preserve">SLOAC members meet </w:t>
      </w:r>
      <w:r w:rsidR="00E6759B">
        <w:t xml:space="preserve">regularly during the academic year to address </w:t>
      </w:r>
      <w:r w:rsidR="008F3940">
        <w:t>Course Student Learning Outcomes (</w:t>
      </w:r>
      <w:r w:rsidR="00E6759B">
        <w:t>CSLOs</w:t>
      </w:r>
      <w:r w:rsidR="008F3940">
        <w:t>)</w:t>
      </w:r>
      <w:r w:rsidR="00E6759B">
        <w:t xml:space="preserve"> and </w:t>
      </w:r>
      <w:r w:rsidR="008F3940">
        <w:t>Program Student Learning Outcomes (</w:t>
      </w:r>
      <w:r w:rsidR="00E6759B">
        <w:t>PSLOs</w:t>
      </w:r>
      <w:r w:rsidR="008F3940">
        <w:t>)</w:t>
      </w:r>
      <w:r w:rsidR="00E6759B">
        <w:t xml:space="preserve"> issues as well as Elumen issues that faculty have.</w:t>
      </w:r>
      <w:r w:rsidR="00057B7E">
        <w:t xml:space="preserve">  There are </w:t>
      </w:r>
      <w:r w:rsidR="00170389">
        <w:t>eleven</w:t>
      </w:r>
      <w:r w:rsidR="00057B7E">
        <w:t xml:space="preserve"> members plus one student representative on the SLOAC</w:t>
      </w:r>
      <w:r w:rsidR="00170389">
        <w:t xml:space="preserve"> and one chairperson</w:t>
      </w:r>
      <w:r w:rsidR="00057B7E">
        <w:t>.</w:t>
      </w:r>
    </w:p>
    <w:p w14:paraId="0E380517" w14:textId="345029AC" w:rsidR="00D4048A" w:rsidRDefault="00D4048A" w:rsidP="00FE04EB">
      <w:pPr>
        <w:pStyle w:val="ListParagraph"/>
        <w:numPr>
          <w:ilvl w:val="0"/>
          <w:numId w:val="1"/>
        </w:numPr>
      </w:pPr>
      <w:r>
        <w:t>The SLOA Committee has assisted with ACCJC Accreditation information/data research.  As additional course data or program data is needed from Elumen, reports will be provided as best as possible by the SLOAC chairperson or designee.</w:t>
      </w:r>
    </w:p>
    <w:p w14:paraId="04F6EAA6" w14:textId="1CFAF3B2" w:rsidR="00FE04EB" w:rsidRDefault="00FE04EB" w:rsidP="00FE04EB">
      <w:pPr>
        <w:pStyle w:val="ListParagraph"/>
        <w:numPr>
          <w:ilvl w:val="0"/>
          <w:numId w:val="1"/>
        </w:numPr>
      </w:pPr>
      <w:r>
        <w:t>Review and updating of CSLOs each semester</w:t>
      </w:r>
      <w:r w:rsidR="00863B81">
        <w:t xml:space="preserve"> </w:t>
      </w:r>
      <w:r w:rsidR="006E069A">
        <w:t>is</w:t>
      </w:r>
      <w:r w:rsidR="00863B81">
        <w:t xml:space="preserve"> an ongoing </w:t>
      </w:r>
      <w:r w:rsidR="00FC4A48">
        <w:t xml:space="preserve">manual </w:t>
      </w:r>
      <w:r w:rsidR="00863B81">
        <w:t>process performed by all members of the committee</w:t>
      </w:r>
      <w:r>
        <w:t>.</w:t>
      </w:r>
      <w:r w:rsidR="007439DB">
        <w:t xml:space="preserve">  At this time all courses have CSLOs attached to them</w:t>
      </w:r>
      <w:r w:rsidR="009E50DB">
        <w:t>.  H</w:t>
      </w:r>
      <w:r w:rsidR="00011611">
        <w:t>owever</w:t>
      </w:r>
      <w:r w:rsidR="009E50DB">
        <w:t>,</w:t>
      </w:r>
      <w:r w:rsidR="00011611">
        <w:t xml:space="preserve"> there are </w:t>
      </w:r>
      <w:r w:rsidR="00D2167F">
        <w:t>774</w:t>
      </w:r>
      <w:r w:rsidR="00011611">
        <w:t xml:space="preserve"> CSLOs of 3</w:t>
      </w:r>
      <w:r w:rsidR="00D2167F">
        <w:t>915</w:t>
      </w:r>
      <w:r w:rsidR="00011611">
        <w:t xml:space="preserve"> </w:t>
      </w:r>
      <w:r w:rsidR="009E50DB">
        <w:t xml:space="preserve">courses that have unmapped CSLOs.  There are also </w:t>
      </w:r>
      <w:r w:rsidR="00D2167F">
        <w:t>149</w:t>
      </w:r>
      <w:r w:rsidR="009E50DB">
        <w:t xml:space="preserve"> CSLOS of 3</w:t>
      </w:r>
      <w:r w:rsidR="00D2167F">
        <w:t>915</w:t>
      </w:r>
      <w:r w:rsidR="009E50DB">
        <w:t xml:space="preserve"> courses </w:t>
      </w:r>
      <w:r w:rsidR="00011611">
        <w:t>that do not have an assessment associated with them</w:t>
      </w:r>
      <w:r w:rsidR="008F3940">
        <w:t xml:space="preserve"> (</w:t>
      </w:r>
      <w:r w:rsidR="00011611">
        <w:t>See Figure 1</w:t>
      </w:r>
      <w:r w:rsidR="008F3940">
        <w:t>)</w:t>
      </w:r>
      <w:r w:rsidR="00011611">
        <w:t>.</w:t>
      </w:r>
    </w:p>
    <w:p w14:paraId="514D63DE" w14:textId="72B167EF" w:rsidR="00170389" w:rsidRDefault="00D2167F" w:rsidP="005356B9">
      <w:pPr>
        <w:jc w:val="center"/>
      </w:pPr>
      <w:r w:rsidRPr="00D2167F">
        <w:rPr>
          <w:noProof/>
        </w:rPr>
        <w:drawing>
          <wp:inline distT="0" distB="0" distL="0" distR="0" wp14:anchorId="1AED20D5" wp14:editId="101780E4">
            <wp:extent cx="6858000" cy="5139690"/>
            <wp:effectExtent l="0" t="0" r="0" b="3810"/>
            <wp:docPr id="2005631629" name="Picture 1" descr="A screenshot of a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631629" name="Picture 1" descr="A screenshot of a computer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3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1AA81" w14:textId="1546C3EE" w:rsidR="007439DB" w:rsidRDefault="0012649C" w:rsidP="005356B9">
      <w:pPr>
        <w:jc w:val="center"/>
      </w:pPr>
      <w:bookmarkStart w:id="0" w:name="_Hlk134618466"/>
      <w:r>
        <w:t>Figure 1</w:t>
      </w:r>
      <w:r w:rsidR="003313F0">
        <w:t xml:space="preserve"> (as of</w:t>
      </w:r>
      <w:r w:rsidR="00127AED">
        <w:t xml:space="preserve"> </w:t>
      </w:r>
      <w:r w:rsidR="00D2167F">
        <w:t>4-12-25</w:t>
      </w:r>
      <w:r w:rsidR="003313F0">
        <w:t>)</w:t>
      </w:r>
    </w:p>
    <w:p w14:paraId="0AF31C46" w14:textId="77777777" w:rsidR="00C70D55" w:rsidRDefault="00C70D55" w:rsidP="005356B9">
      <w:pPr>
        <w:jc w:val="center"/>
      </w:pPr>
    </w:p>
    <w:bookmarkEnd w:id="0"/>
    <w:p w14:paraId="30BF6B23" w14:textId="36993629" w:rsidR="00D2167F" w:rsidRDefault="00D2167F" w:rsidP="007E792E">
      <w:pPr>
        <w:pStyle w:val="ListParagraph"/>
        <w:numPr>
          <w:ilvl w:val="0"/>
          <w:numId w:val="1"/>
        </w:numPr>
      </w:pPr>
      <w:r w:rsidRPr="00D2167F">
        <w:t xml:space="preserve">Review and updating of mapping of CSLOs to PSLOs is </w:t>
      </w:r>
      <w:r>
        <w:t>an on-going process</w:t>
      </w:r>
      <w:r w:rsidRPr="00D2167F">
        <w:t xml:space="preserve"> in the </w:t>
      </w:r>
      <w:proofErr w:type="spellStart"/>
      <w:r w:rsidRPr="00D2167F">
        <w:t>Elumen</w:t>
      </w:r>
      <w:proofErr w:type="spellEnd"/>
      <w:r w:rsidRPr="00D2167F">
        <w:t xml:space="preserve"> system</w:t>
      </w:r>
      <w:r>
        <w:t xml:space="preserve"> since new courses are created, approved</w:t>
      </w:r>
      <w:r w:rsidR="00AC5F7B">
        <w:t>,</w:t>
      </w:r>
      <w:r>
        <w:t xml:space="preserve"> and then loaded into </w:t>
      </w:r>
      <w:proofErr w:type="spellStart"/>
      <w:r w:rsidR="00C70D55">
        <w:t>El</w:t>
      </w:r>
      <w:r>
        <w:t>umen</w:t>
      </w:r>
      <w:proofErr w:type="spellEnd"/>
      <w:r>
        <w:t xml:space="preserve"> via a download from Banner</w:t>
      </w:r>
      <w:r w:rsidRPr="00D2167F">
        <w:t xml:space="preserve">. Review and updating of mapping of CSLOs to PSLOs and then PSLOs to ISLOs is an ongoing manual process performed by all members of the committee.  </w:t>
      </w:r>
    </w:p>
    <w:p w14:paraId="1382C6E7" w14:textId="3F76A50E" w:rsidR="00406ED8" w:rsidRDefault="00406ED8" w:rsidP="00406ED8">
      <w:pPr>
        <w:pStyle w:val="ListParagraph"/>
        <w:numPr>
          <w:ilvl w:val="0"/>
          <w:numId w:val="2"/>
        </w:numPr>
      </w:pPr>
      <w:r>
        <w:t>There are 3</w:t>
      </w:r>
      <w:r w:rsidR="00C70D55">
        <w:t>22</w:t>
      </w:r>
      <w:r>
        <w:t xml:space="preserve"> of </w:t>
      </w:r>
      <w:r w:rsidR="00C70D55">
        <w:t>901</w:t>
      </w:r>
      <w:r>
        <w:t xml:space="preserve"> PSLOs that are not mapped to ISLOs.  There are 1</w:t>
      </w:r>
      <w:r w:rsidR="00C70D55">
        <w:t>31</w:t>
      </w:r>
      <w:r>
        <w:t xml:space="preserve"> of </w:t>
      </w:r>
      <w:r w:rsidR="00C70D55">
        <w:t>901</w:t>
      </w:r>
      <w:r>
        <w:t xml:space="preserve"> PSLOs that are not mapped to CSLOs.  There are 7</w:t>
      </w:r>
      <w:r w:rsidR="00C70D55">
        <w:t>30</w:t>
      </w:r>
      <w:r>
        <w:t xml:space="preserve"> of </w:t>
      </w:r>
      <w:r w:rsidR="00C70D55">
        <w:t>901</w:t>
      </w:r>
      <w:r>
        <w:t xml:space="preserve"> PSLOs that do not have any assessment rubric associated with them</w:t>
      </w:r>
      <w:r w:rsidR="00F3502C">
        <w:t xml:space="preserve"> (</w:t>
      </w:r>
      <w:r w:rsidR="00D4048A">
        <w:t>See Figure 2</w:t>
      </w:r>
      <w:r w:rsidR="00F3502C">
        <w:t>).</w:t>
      </w:r>
      <w:r w:rsidR="00C70D55">
        <w:t xml:space="preserve">  (Please note that PSLOs do not need to be assessed independently (necessarily) if they are mapped to a CSLOs.)</w:t>
      </w:r>
    </w:p>
    <w:p w14:paraId="02582170" w14:textId="1C2F5BF8" w:rsidR="00A860A8" w:rsidRDefault="00C70D55" w:rsidP="005356B9">
      <w:pPr>
        <w:jc w:val="center"/>
      </w:pPr>
      <w:r w:rsidRPr="00C70D55">
        <w:rPr>
          <w:noProof/>
        </w:rPr>
        <w:drawing>
          <wp:inline distT="0" distB="0" distL="0" distR="0" wp14:anchorId="5FE80944" wp14:editId="5D953DA9">
            <wp:extent cx="6858000" cy="5256530"/>
            <wp:effectExtent l="0" t="0" r="0" b="1270"/>
            <wp:docPr id="25529406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294068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5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DC669" w14:textId="084A09E9" w:rsidR="004C4A69" w:rsidRDefault="004C4A69" w:rsidP="004C4A69">
      <w:pPr>
        <w:jc w:val="center"/>
      </w:pPr>
      <w:r>
        <w:t xml:space="preserve">Figure 2 (as of </w:t>
      </w:r>
      <w:r w:rsidR="00C70D55">
        <w:t>4-12-25</w:t>
      </w:r>
      <w:r>
        <w:t>)</w:t>
      </w:r>
    </w:p>
    <w:p w14:paraId="610A1500" w14:textId="77777777" w:rsidR="00316944" w:rsidRDefault="00316944" w:rsidP="004C4A69">
      <w:pPr>
        <w:jc w:val="center"/>
      </w:pPr>
    </w:p>
    <w:p w14:paraId="27229D21" w14:textId="77777777" w:rsidR="00316944" w:rsidRDefault="00316944" w:rsidP="004C4A69">
      <w:pPr>
        <w:jc w:val="center"/>
      </w:pPr>
    </w:p>
    <w:p w14:paraId="7D26D9DA" w14:textId="77777777" w:rsidR="00316944" w:rsidRDefault="00316944" w:rsidP="004C4A69">
      <w:pPr>
        <w:jc w:val="center"/>
      </w:pPr>
    </w:p>
    <w:p w14:paraId="1A1862D3" w14:textId="77777777" w:rsidR="00316944" w:rsidRDefault="00316944" w:rsidP="004C4A69">
      <w:pPr>
        <w:jc w:val="center"/>
      </w:pPr>
    </w:p>
    <w:p w14:paraId="28DC6AEA" w14:textId="77777777" w:rsidR="00316944" w:rsidRDefault="00316944" w:rsidP="004C4A69">
      <w:pPr>
        <w:jc w:val="center"/>
      </w:pPr>
    </w:p>
    <w:p w14:paraId="79CE5E9A" w14:textId="77777777" w:rsidR="00316944" w:rsidRDefault="00316944" w:rsidP="004C4A69">
      <w:pPr>
        <w:jc w:val="center"/>
      </w:pPr>
    </w:p>
    <w:p w14:paraId="58417445" w14:textId="394ACA52" w:rsidR="00316944" w:rsidRDefault="00406ED8" w:rsidP="00316944">
      <w:pPr>
        <w:pStyle w:val="ListParagraph"/>
        <w:numPr>
          <w:ilvl w:val="0"/>
          <w:numId w:val="2"/>
        </w:numPr>
        <w:rPr>
          <w:noProof/>
        </w:rPr>
      </w:pPr>
      <w:r>
        <w:t xml:space="preserve">All ISLOs are </w:t>
      </w:r>
      <w:r w:rsidR="00A512FB">
        <w:t xml:space="preserve">typically </w:t>
      </w:r>
      <w:r>
        <w:t>mapped to at least one PSLO</w:t>
      </w:r>
      <w:r w:rsidR="007F4DB1">
        <w:t xml:space="preserve"> </w:t>
      </w:r>
      <w:r w:rsidR="00F3502C">
        <w:t>(</w:t>
      </w:r>
      <w:r w:rsidR="00D4048A">
        <w:t>See Figure 3</w:t>
      </w:r>
      <w:r w:rsidR="00316944">
        <w:t xml:space="preserve"> and 4</w:t>
      </w:r>
      <w:r w:rsidR="00F3502C">
        <w:t>)</w:t>
      </w:r>
      <w:r w:rsidR="00316944">
        <w:t>.  At this time, all ISLOs have been mapped to by at least one PSLO.</w:t>
      </w:r>
      <w:r w:rsidR="00F3502C">
        <w:t xml:space="preserve"> </w:t>
      </w:r>
      <w:r w:rsidR="007F4DB1">
        <w:t xml:space="preserve"> </w:t>
      </w:r>
      <w:r>
        <w:t xml:space="preserve"> </w:t>
      </w:r>
      <w:r w:rsidR="00305C5A">
        <w:t>Note</w:t>
      </w:r>
      <w:r w:rsidR="00316944">
        <w:t>: In</w:t>
      </w:r>
      <w:r w:rsidR="00305C5A" w:rsidRPr="00305C5A">
        <w:t xml:space="preserve"> </w:t>
      </w:r>
      <w:proofErr w:type="spellStart"/>
      <w:r w:rsidR="003B41E3" w:rsidRPr="00305C5A">
        <w:t>Elumen</w:t>
      </w:r>
      <w:proofErr w:type="spellEnd"/>
      <w:r w:rsidR="00305C5A" w:rsidRPr="00305C5A">
        <w:t xml:space="preserve"> the mapping of one set of SLOs to another set of SLOs of a higher scope</w:t>
      </w:r>
      <w:r w:rsidR="00305C5A">
        <w:t xml:space="preserve"> </w:t>
      </w:r>
      <w:r w:rsidR="00305C5A" w:rsidRPr="00305C5A">
        <w:t xml:space="preserve">is done through our matrix. </w:t>
      </w:r>
      <w:r w:rsidR="00305C5A">
        <w:t xml:space="preserve"> </w:t>
      </w:r>
      <w:r w:rsidR="00305C5A" w:rsidRPr="00305C5A">
        <w:t xml:space="preserve">These mappings drive the aggregation of data results. </w:t>
      </w:r>
    </w:p>
    <w:p w14:paraId="0FA7043B" w14:textId="23FEF06E" w:rsidR="00316944" w:rsidRDefault="00316944" w:rsidP="005356B9">
      <w:pPr>
        <w:jc w:val="center"/>
        <w:rPr>
          <w:noProof/>
        </w:rPr>
      </w:pPr>
      <w:r w:rsidRPr="00316944">
        <w:rPr>
          <w:noProof/>
        </w:rPr>
        <w:drawing>
          <wp:inline distT="0" distB="0" distL="0" distR="0" wp14:anchorId="065A624A" wp14:editId="049B962C">
            <wp:extent cx="6554115" cy="4467849"/>
            <wp:effectExtent l="0" t="0" r="0" b="9525"/>
            <wp:docPr id="1261961706" name="Picture 1" descr="A screenshot of a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961706" name="Picture 1" descr="A screenshot of a computer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54115" cy="446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CE12A" w14:textId="108B50B5" w:rsidR="00316944" w:rsidRDefault="00316944" w:rsidP="005356B9">
      <w:pPr>
        <w:jc w:val="center"/>
        <w:rPr>
          <w:noProof/>
        </w:rPr>
      </w:pPr>
      <w:r>
        <w:rPr>
          <w:noProof/>
        </w:rPr>
        <w:t>Figure 3 (as of 4-12-25)</w:t>
      </w:r>
    </w:p>
    <w:p w14:paraId="383EC632" w14:textId="14D6F8A8" w:rsidR="00316944" w:rsidRDefault="00316944" w:rsidP="005356B9">
      <w:pPr>
        <w:jc w:val="center"/>
        <w:rPr>
          <w:noProof/>
        </w:rPr>
      </w:pPr>
      <w:r w:rsidRPr="00316944">
        <w:rPr>
          <w:noProof/>
        </w:rPr>
        <w:lastRenderedPageBreak/>
        <w:drawing>
          <wp:inline distT="0" distB="0" distL="0" distR="0" wp14:anchorId="160E1488" wp14:editId="701AD857">
            <wp:extent cx="6649378" cy="4963218"/>
            <wp:effectExtent l="0" t="0" r="0" b="8890"/>
            <wp:docPr id="1738353946" name="Picture 1" descr="A screenshot of a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353946" name="Picture 1" descr="A screenshot of a computer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9378" cy="496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ED812" w14:textId="69EC591F" w:rsidR="00316944" w:rsidRDefault="00316944" w:rsidP="005356B9">
      <w:pPr>
        <w:jc w:val="center"/>
        <w:rPr>
          <w:noProof/>
        </w:rPr>
      </w:pPr>
      <w:r>
        <w:rPr>
          <w:noProof/>
        </w:rPr>
        <w:t>Figure 4 (as of 4-12-25)</w:t>
      </w:r>
    </w:p>
    <w:p w14:paraId="28423785" w14:textId="0622F4F2" w:rsidR="00316944" w:rsidRPr="00464AEE" w:rsidRDefault="00464AEE" w:rsidP="00464AEE">
      <w:pPr>
        <w:rPr>
          <w:b/>
          <w:bCs/>
          <w:noProof/>
        </w:rPr>
      </w:pPr>
      <w:r w:rsidRPr="00464AEE">
        <w:rPr>
          <w:b/>
          <w:bCs/>
          <w:noProof/>
        </w:rPr>
        <w:t xml:space="preserve">Other SLOAC Action Items that </w:t>
      </w:r>
      <w:r w:rsidR="005D50A3">
        <w:rPr>
          <w:b/>
          <w:bCs/>
          <w:noProof/>
        </w:rPr>
        <w:t xml:space="preserve">are </w:t>
      </w:r>
      <w:r w:rsidRPr="00464AEE">
        <w:rPr>
          <w:b/>
          <w:bCs/>
          <w:noProof/>
        </w:rPr>
        <w:t>either complete or in process for 2024-25 academic year.</w:t>
      </w:r>
    </w:p>
    <w:p w14:paraId="4F4D4239" w14:textId="7BEC0297" w:rsidR="00316944" w:rsidRDefault="0001468A" w:rsidP="00464AEE">
      <w:pPr>
        <w:pStyle w:val="ListParagraph"/>
        <w:numPr>
          <w:ilvl w:val="0"/>
          <w:numId w:val="2"/>
        </w:numPr>
      </w:pPr>
      <w:r>
        <w:t xml:space="preserve">SLO website has been updated/revised as of March 2025.  </w:t>
      </w:r>
    </w:p>
    <w:p w14:paraId="472A1194" w14:textId="671A175D" w:rsidR="0001468A" w:rsidRDefault="0001468A" w:rsidP="00464AEE">
      <w:pPr>
        <w:pStyle w:val="ListParagraph"/>
        <w:numPr>
          <w:ilvl w:val="0"/>
          <w:numId w:val="2"/>
        </w:numPr>
      </w:pPr>
      <w:r>
        <w:t xml:space="preserve">Transition from </w:t>
      </w:r>
      <w:proofErr w:type="spellStart"/>
      <w:r>
        <w:t>Elumen</w:t>
      </w:r>
      <w:proofErr w:type="spellEnd"/>
      <w:r>
        <w:t xml:space="preserve"> to Insights is in process.</w:t>
      </w:r>
      <w:r w:rsidR="005D50A3">
        <w:t xml:space="preserve">  As some folks may or may not be aware we are in the process of transitioning from </w:t>
      </w:r>
      <w:proofErr w:type="spellStart"/>
      <w:r w:rsidR="005D50A3">
        <w:t>Elumen</w:t>
      </w:r>
      <w:proofErr w:type="spellEnd"/>
      <w:r w:rsidR="005D50A3">
        <w:t xml:space="preserve"> to Insights (which is part of the Canvas product).  Tentative implementation is Fall 2025. This transitioning project started in May of 2024 since </w:t>
      </w:r>
      <w:proofErr w:type="spellStart"/>
      <w:r w:rsidR="005D50A3">
        <w:t>Elumen</w:t>
      </w:r>
      <w:proofErr w:type="spellEnd"/>
      <w:r w:rsidR="005D50A3">
        <w:t xml:space="preserve"> corporate announced that this </w:t>
      </w:r>
      <w:proofErr w:type="spellStart"/>
      <w:r w:rsidR="005D50A3">
        <w:t>Elumen</w:t>
      </w:r>
      <w:proofErr w:type="spellEnd"/>
      <w:r w:rsidR="005D50A3">
        <w:t xml:space="preserve"> product will commence sundowning operations this year.  The faculty senate and the VPI were notified and approved the transition of </w:t>
      </w:r>
      <w:proofErr w:type="spellStart"/>
      <w:r w:rsidR="005D50A3">
        <w:t>Elumen</w:t>
      </w:r>
      <w:proofErr w:type="spellEnd"/>
      <w:r w:rsidR="005D50A3">
        <w:t xml:space="preserve"> to Insights</w:t>
      </w:r>
      <w:r w:rsidR="00CA139E">
        <w:t xml:space="preserve"> in May of 2024</w:t>
      </w:r>
      <w:r w:rsidR="005D50A3">
        <w:t xml:space="preserve">.  The yearly cost of this is the same as the cost for </w:t>
      </w:r>
      <w:proofErr w:type="spellStart"/>
      <w:r w:rsidR="005D50A3">
        <w:t>Elumen</w:t>
      </w:r>
      <w:proofErr w:type="spellEnd"/>
      <w:r w:rsidR="005D50A3">
        <w:t xml:space="preserve"> hence the yearly renewal contract included this option which was signed.  It is our hope that </w:t>
      </w:r>
      <w:r w:rsidR="00CA139E">
        <w:t>the faculty</w:t>
      </w:r>
      <w:r w:rsidR="005D50A3">
        <w:t xml:space="preserve"> will like this product since many of the </w:t>
      </w:r>
      <w:r w:rsidR="00CA139E">
        <w:t xml:space="preserve">software </w:t>
      </w:r>
      <w:r w:rsidR="005D50A3">
        <w:t xml:space="preserve">ancillary items associated with Insights </w:t>
      </w:r>
      <w:r w:rsidR="00E87743">
        <w:t>are</w:t>
      </w:r>
      <w:r w:rsidR="005D50A3">
        <w:t xml:space="preserve"> found directly in the Canvas product today</w:t>
      </w:r>
      <w:r w:rsidR="00E87743">
        <w:t xml:space="preserve"> and </w:t>
      </w:r>
      <w:r w:rsidR="008C6DC7">
        <w:t>are</w:t>
      </w:r>
      <w:r w:rsidR="00E87743">
        <w:t xml:space="preserve"> used by our faculty</w:t>
      </w:r>
      <w:r w:rsidR="005D50A3">
        <w:t xml:space="preserve">.  Insights will add the element of </w:t>
      </w:r>
      <w:r w:rsidR="00E87743">
        <w:t>year-to-year</w:t>
      </w:r>
      <w:r w:rsidR="005D50A3">
        <w:t xml:space="preserve"> data</w:t>
      </w:r>
      <w:r w:rsidR="00E87743">
        <w:t xml:space="preserve"> review and disaggregated data.  Insights is also compatible (partnered with) with “</w:t>
      </w:r>
      <w:proofErr w:type="spellStart"/>
      <w:r w:rsidR="00E87743">
        <w:t>Coursedog</w:t>
      </w:r>
      <w:proofErr w:type="spellEnd"/>
      <w:r w:rsidR="00E87743">
        <w:t>” and many other curriculum software</w:t>
      </w:r>
      <w:r w:rsidR="005E0435">
        <w:t xml:space="preserve"> products</w:t>
      </w:r>
      <w:r w:rsidR="00E87743">
        <w:t xml:space="preserve">. </w:t>
      </w:r>
      <w:r w:rsidR="005D50A3">
        <w:t xml:space="preserve"> </w:t>
      </w:r>
    </w:p>
    <w:p w14:paraId="203BAA03" w14:textId="77777777" w:rsidR="00464AEE" w:rsidRDefault="00464AEE" w:rsidP="00464AEE"/>
    <w:p w14:paraId="14498FF4" w14:textId="77777777" w:rsidR="00464AEE" w:rsidRDefault="00464AEE" w:rsidP="00464AEE"/>
    <w:p w14:paraId="5876D76A" w14:textId="2F74E16C" w:rsidR="001B2344" w:rsidRDefault="001B2344" w:rsidP="00464AEE">
      <w:r>
        <w:t>Note:  I have attached a separate document showing the members of the SLOAC</w:t>
      </w:r>
      <w:r w:rsidR="004C6D36">
        <w:t xml:space="preserve"> for 2024-2025 academic year</w:t>
      </w:r>
      <w:r>
        <w:t xml:space="preserve">.  </w:t>
      </w:r>
    </w:p>
    <w:sectPr w:rsidR="001B2344" w:rsidSect="00E605B4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82001" w14:textId="77777777" w:rsidR="007915E0" w:rsidRDefault="007915E0" w:rsidP="007915E0">
      <w:pPr>
        <w:spacing w:after="0" w:line="240" w:lineRule="auto"/>
      </w:pPr>
      <w:r>
        <w:separator/>
      </w:r>
    </w:p>
  </w:endnote>
  <w:endnote w:type="continuationSeparator" w:id="0">
    <w:p w14:paraId="5D8FC576" w14:textId="77777777" w:rsidR="007915E0" w:rsidRDefault="007915E0" w:rsidP="00791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57482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837CB3" w14:textId="1A53A59E" w:rsidR="007915E0" w:rsidRDefault="007915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6CB662" w14:textId="77777777" w:rsidR="007915E0" w:rsidRDefault="007915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C5CFD" w14:textId="77777777" w:rsidR="007915E0" w:rsidRDefault="007915E0" w:rsidP="007915E0">
      <w:pPr>
        <w:spacing w:after="0" w:line="240" w:lineRule="auto"/>
      </w:pPr>
      <w:r>
        <w:separator/>
      </w:r>
    </w:p>
  </w:footnote>
  <w:footnote w:type="continuationSeparator" w:id="0">
    <w:p w14:paraId="1D92ADA3" w14:textId="77777777" w:rsidR="007915E0" w:rsidRDefault="007915E0" w:rsidP="007915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35513"/>
    <w:multiLevelType w:val="hybridMultilevel"/>
    <w:tmpl w:val="868894BA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B15197E"/>
    <w:multiLevelType w:val="hybridMultilevel"/>
    <w:tmpl w:val="6B563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904349">
    <w:abstractNumId w:val="0"/>
  </w:num>
  <w:num w:numId="2" w16cid:durableId="1030061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4EB"/>
    <w:rsid w:val="00011611"/>
    <w:rsid w:val="00013460"/>
    <w:rsid w:val="0001468A"/>
    <w:rsid w:val="00015C22"/>
    <w:rsid w:val="00051DA5"/>
    <w:rsid w:val="00057B7E"/>
    <w:rsid w:val="00065F79"/>
    <w:rsid w:val="000A4C4C"/>
    <w:rsid w:val="000B3E0C"/>
    <w:rsid w:val="000B7335"/>
    <w:rsid w:val="000E056E"/>
    <w:rsid w:val="0012649C"/>
    <w:rsid w:val="00127AED"/>
    <w:rsid w:val="00162B50"/>
    <w:rsid w:val="00163D75"/>
    <w:rsid w:val="00167809"/>
    <w:rsid w:val="00170389"/>
    <w:rsid w:val="001B2344"/>
    <w:rsid w:val="0023685D"/>
    <w:rsid w:val="0024348C"/>
    <w:rsid w:val="002901C0"/>
    <w:rsid w:val="0029142E"/>
    <w:rsid w:val="002A7A58"/>
    <w:rsid w:val="002D2A8E"/>
    <w:rsid w:val="002F513D"/>
    <w:rsid w:val="00305C5A"/>
    <w:rsid w:val="00316944"/>
    <w:rsid w:val="003224D6"/>
    <w:rsid w:val="00326307"/>
    <w:rsid w:val="003313F0"/>
    <w:rsid w:val="00333B99"/>
    <w:rsid w:val="00345600"/>
    <w:rsid w:val="00364084"/>
    <w:rsid w:val="003746D9"/>
    <w:rsid w:val="0039636E"/>
    <w:rsid w:val="003B41E3"/>
    <w:rsid w:val="003B7589"/>
    <w:rsid w:val="003C73F4"/>
    <w:rsid w:val="00406ED8"/>
    <w:rsid w:val="004251D3"/>
    <w:rsid w:val="004252F6"/>
    <w:rsid w:val="00430262"/>
    <w:rsid w:val="00464AEE"/>
    <w:rsid w:val="00484C36"/>
    <w:rsid w:val="004B5E18"/>
    <w:rsid w:val="004C0E21"/>
    <w:rsid w:val="004C4A69"/>
    <w:rsid w:val="004C6D36"/>
    <w:rsid w:val="004E0472"/>
    <w:rsid w:val="004E7001"/>
    <w:rsid w:val="004F50D9"/>
    <w:rsid w:val="005006F8"/>
    <w:rsid w:val="005356B9"/>
    <w:rsid w:val="005358B3"/>
    <w:rsid w:val="005B251E"/>
    <w:rsid w:val="005B37B2"/>
    <w:rsid w:val="005C6782"/>
    <w:rsid w:val="005D50A3"/>
    <w:rsid w:val="005E0435"/>
    <w:rsid w:val="005E093F"/>
    <w:rsid w:val="0061166E"/>
    <w:rsid w:val="00647A2D"/>
    <w:rsid w:val="006543FB"/>
    <w:rsid w:val="006560DF"/>
    <w:rsid w:val="0067385C"/>
    <w:rsid w:val="006E069A"/>
    <w:rsid w:val="007439DB"/>
    <w:rsid w:val="00757BEC"/>
    <w:rsid w:val="007915E0"/>
    <w:rsid w:val="007B2A77"/>
    <w:rsid w:val="007E792E"/>
    <w:rsid w:val="007F3A5C"/>
    <w:rsid w:val="007F4DB1"/>
    <w:rsid w:val="00806C10"/>
    <w:rsid w:val="00826417"/>
    <w:rsid w:val="00831543"/>
    <w:rsid w:val="00832495"/>
    <w:rsid w:val="00844CC6"/>
    <w:rsid w:val="0085419A"/>
    <w:rsid w:val="00863B81"/>
    <w:rsid w:val="008B7053"/>
    <w:rsid w:val="008B7073"/>
    <w:rsid w:val="008B7657"/>
    <w:rsid w:val="008C018F"/>
    <w:rsid w:val="008C6DC7"/>
    <w:rsid w:val="008C6E9D"/>
    <w:rsid w:val="008E14AC"/>
    <w:rsid w:val="008F3940"/>
    <w:rsid w:val="009303BB"/>
    <w:rsid w:val="009460AA"/>
    <w:rsid w:val="009E38C7"/>
    <w:rsid w:val="009E50DB"/>
    <w:rsid w:val="00A512FB"/>
    <w:rsid w:val="00A860A8"/>
    <w:rsid w:val="00A9452A"/>
    <w:rsid w:val="00AB44A2"/>
    <w:rsid w:val="00AC5F7B"/>
    <w:rsid w:val="00AD1591"/>
    <w:rsid w:val="00AE22E0"/>
    <w:rsid w:val="00AE27B5"/>
    <w:rsid w:val="00AF52BF"/>
    <w:rsid w:val="00B510A8"/>
    <w:rsid w:val="00B61CA9"/>
    <w:rsid w:val="00BA0FE2"/>
    <w:rsid w:val="00BF56BA"/>
    <w:rsid w:val="00C01BDD"/>
    <w:rsid w:val="00C056EC"/>
    <w:rsid w:val="00C24613"/>
    <w:rsid w:val="00C40E8B"/>
    <w:rsid w:val="00C43AA4"/>
    <w:rsid w:val="00C66E81"/>
    <w:rsid w:val="00C70D55"/>
    <w:rsid w:val="00CA139E"/>
    <w:rsid w:val="00CA6E13"/>
    <w:rsid w:val="00CC7056"/>
    <w:rsid w:val="00CF2169"/>
    <w:rsid w:val="00CF5896"/>
    <w:rsid w:val="00D2167F"/>
    <w:rsid w:val="00D4048A"/>
    <w:rsid w:val="00D42A03"/>
    <w:rsid w:val="00D44A32"/>
    <w:rsid w:val="00D511F5"/>
    <w:rsid w:val="00D67ABA"/>
    <w:rsid w:val="00DE2A7D"/>
    <w:rsid w:val="00DE5FFC"/>
    <w:rsid w:val="00E14ACA"/>
    <w:rsid w:val="00E514E4"/>
    <w:rsid w:val="00E605B4"/>
    <w:rsid w:val="00E61312"/>
    <w:rsid w:val="00E6759B"/>
    <w:rsid w:val="00E71390"/>
    <w:rsid w:val="00E81C15"/>
    <w:rsid w:val="00E82C60"/>
    <w:rsid w:val="00E87743"/>
    <w:rsid w:val="00E949BA"/>
    <w:rsid w:val="00EA2D58"/>
    <w:rsid w:val="00EC2ADA"/>
    <w:rsid w:val="00ED1D30"/>
    <w:rsid w:val="00EE7065"/>
    <w:rsid w:val="00F267AD"/>
    <w:rsid w:val="00F3502C"/>
    <w:rsid w:val="00F60BEA"/>
    <w:rsid w:val="00F65D95"/>
    <w:rsid w:val="00FB3B39"/>
    <w:rsid w:val="00FB6D43"/>
    <w:rsid w:val="00FC315F"/>
    <w:rsid w:val="00FC4A48"/>
    <w:rsid w:val="00FE04EB"/>
    <w:rsid w:val="00FE50B3"/>
    <w:rsid w:val="00FE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2A1DD"/>
  <w15:chartTrackingRefBased/>
  <w15:docId w15:val="{1C78C453-E217-4C50-BC84-B69223B7F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4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15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5E0"/>
  </w:style>
  <w:style w:type="paragraph" w:styleId="Footer">
    <w:name w:val="footer"/>
    <w:basedOn w:val="Normal"/>
    <w:link w:val="FooterChar"/>
    <w:uiPriority w:val="99"/>
    <w:unhideWhenUsed/>
    <w:rsid w:val="007915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5E0"/>
  </w:style>
  <w:style w:type="character" w:styleId="Hyperlink">
    <w:name w:val="Hyperlink"/>
    <w:basedOn w:val="DefaultParagraphFont"/>
    <w:uiPriority w:val="99"/>
    <w:unhideWhenUsed/>
    <w:rsid w:val="003640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408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51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lo.fullcoll.ed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Bonnand</dc:creator>
  <cp:keywords/>
  <dc:description/>
  <cp:lastModifiedBy>George Bonnand</cp:lastModifiedBy>
  <cp:revision>21</cp:revision>
  <dcterms:created xsi:type="dcterms:W3CDTF">2025-04-13T00:20:00Z</dcterms:created>
  <dcterms:modified xsi:type="dcterms:W3CDTF">2025-04-14T16:58:00Z</dcterms:modified>
</cp:coreProperties>
</file>