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0D59" w14:textId="4E9DA128" w:rsidR="001653C3" w:rsidRPr="00E6011B" w:rsidRDefault="001653C3" w:rsidP="001653C3">
      <w:pPr>
        <w:rPr>
          <w:rFonts w:ascii="Arial Black" w:hAnsi="Arial Black"/>
          <w:sz w:val="48"/>
          <w:szCs w:val="48"/>
        </w:rPr>
      </w:pPr>
      <w:r w:rsidRPr="00E6011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FA10B" wp14:editId="6411E71B">
                <wp:simplePos x="0" y="0"/>
                <wp:positionH relativeFrom="column">
                  <wp:posOffset>-300990</wp:posOffset>
                </wp:positionH>
                <wp:positionV relativeFrom="paragraph">
                  <wp:posOffset>-457200</wp:posOffset>
                </wp:positionV>
                <wp:extent cx="62865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0326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36pt" to="471.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"/>
            </w:pict>
          </mc:Fallback>
        </mc:AlternateContent>
      </w:r>
      <w:r w:rsidRPr="00E6011B">
        <w:rPr>
          <w:rFonts w:ascii="Arial Black" w:hAnsi="Arial Black"/>
          <w:sz w:val="48"/>
          <w:szCs w:val="48"/>
        </w:rPr>
        <w:t>Diversity Advisory</w: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 xml:space="preserve">Committee </w:t>
      </w:r>
      <w:r>
        <w:rPr>
          <w:rFonts w:ascii="Arial Black" w:hAnsi="Arial Black"/>
          <w:sz w:val="48"/>
          <w:szCs w:val="48"/>
        </w:rPr>
        <w:t>Meeting Notes</w:t>
      </w:r>
    </w:p>
    <w:p w14:paraId="74FAD53D" w14:textId="35685241" w:rsidR="001653C3" w:rsidRPr="00153199" w:rsidRDefault="001653C3" w:rsidP="001653C3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March 4</w:t>
      </w:r>
      <w:r w:rsidRPr="00B479C0"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  <w:t>th</w:t>
      </w:r>
      <w:r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202</w:t>
      </w:r>
      <w:r w:rsidR="00DB0C8E">
        <w:rPr>
          <w:rFonts w:ascii="Calibri" w:hAnsi="Calibri" w:cs="Calibri"/>
          <w:b/>
          <w:bCs/>
          <w:color w:val="201F1E"/>
          <w:sz w:val="22"/>
          <w:szCs w:val="22"/>
        </w:rPr>
        <w:t>6</w:t>
      </w:r>
    </w:p>
    <w:p w14:paraId="55D3710E" w14:textId="77777777" w:rsidR="001653C3" w:rsidRDefault="001653C3" w:rsidP="001653C3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3:00-4:30 PM</w:t>
      </w:r>
    </w:p>
    <w:p w14:paraId="2BA51582" w14:textId="77777777" w:rsidR="001653C3" w:rsidRDefault="001653C3" w:rsidP="001653C3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>Zoom meeting</w:t>
      </w:r>
    </w:p>
    <w:p w14:paraId="7736D385" w14:textId="77777777" w:rsidR="001653C3" w:rsidRPr="000E7A40" w:rsidRDefault="001653C3" w:rsidP="001653C3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0"/>
          <w:szCs w:val="20"/>
        </w:rPr>
      </w:pPr>
      <w:hyperlink r:id="rId5" w:tgtFrame="_blank" w:history="1">
        <w:r w:rsidRPr="0015319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https://fullcoll-edu.zoom.us/j/84974306423?pwd=npD4BaXq0DiDrwzb0cOgXg4LaKxYpQ.1</w:t>
        </w:r>
      </w:hyperlink>
    </w:p>
    <w:p w14:paraId="0D5D9778" w14:textId="77777777" w:rsidR="001653C3" w:rsidRDefault="001653C3" w:rsidP="001653C3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5A889DB3" w14:textId="77777777" w:rsidR="001653C3" w:rsidRDefault="001653C3" w:rsidP="001653C3">
      <w:pPr>
        <w:pBdr>
          <w:top w:val="thinThickSmallGap" w:sz="24" w:space="1" w:color="auto"/>
        </w:pBdr>
        <w:rPr>
          <w:rFonts w:ascii="Arial" w:hAnsi="Arial" w:cs="Arial"/>
          <w:sz w:val="20"/>
          <w:szCs w:val="20"/>
        </w:rPr>
      </w:pPr>
      <w:r w:rsidRPr="54956136">
        <w:rPr>
          <w:rFonts w:ascii="Arial" w:hAnsi="Arial" w:cs="Arial"/>
          <w:b/>
          <w:bCs/>
          <w:sz w:val="20"/>
          <w:szCs w:val="20"/>
        </w:rPr>
        <w:t>MEMBERS</w:t>
      </w:r>
      <w:r w:rsidRPr="54956136">
        <w:rPr>
          <w:rFonts w:ascii="Arial" w:hAnsi="Arial" w:cs="Arial"/>
          <w:sz w:val="20"/>
          <w:szCs w:val="20"/>
        </w:rPr>
        <w:t xml:space="preserve">: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653C3" w:rsidRPr="001653C3" w14:paraId="761338E5" w14:textId="77777777" w:rsidTr="000C454B">
        <w:tc>
          <w:tcPr>
            <w:tcW w:w="2337" w:type="dxa"/>
          </w:tcPr>
          <w:p w14:paraId="4616C454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Student (2)</w:t>
            </w:r>
          </w:p>
        </w:tc>
        <w:tc>
          <w:tcPr>
            <w:tcW w:w="2337" w:type="dxa"/>
          </w:tcPr>
          <w:p w14:paraId="72769E5C" w14:textId="2862FFDB" w:rsidR="001653C3" w:rsidRPr="001653C3" w:rsidRDefault="001653C3" w:rsidP="000C454B">
            <w:pPr>
              <w:pStyle w:val="Heading2"/>
              <w:rPr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Karla Arellano Delgado, </w:t>
            </w:r>
            <w:r w:rsidR="001405C0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  <w:tc>
          <w:tcPr>
            <w:tcW w:w="2338" w:type="dxa"/>
          </w:tcPr>
          <w:p w14:paraId="4BA61313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i/>
                <w:iCs/>
                <w:color w:val="auto"/>
                <w:sz w:val="18"/>
                <w:szCs w:val="18"/>
              </w:rPr>
              <w:t>Black/African American Faculty</w:t>
            </w: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 and Staff Association (1)</w:t>
            </w:r>
          </w:p>
        </w:tc>
        <w:tc>
          <w:tcPr>
            <w:tcW w:w="2338" w:type="dxa"/>
          </w:tcPr>
          <w:p w14:paraId="3D36B038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405C0">
              <w:rPr>
                <w:b/>
                <w:bCs/>
                <w:color w:val="E97132" w:themeColor="accent2"/>
                <w:sz w:val="18"/>
                <w:szCs w:val="18"/>
              </w:rPr>
              <w:t>Andre Strong</w:t>
            </w:r>
          </w:p>
        </w:tc>
      </w:tr>
      <w:tr w:rsidR="001653C3" w:rsidRPr="001653C3" w14:paraId="0A65EA58" w14:textId="77777777" w:rsidTr="000C454B">
        <w:tc>
          <w:tcPr>
            <w:tcW w:w="2337" w:type="dxa"/>
          </w:tcPr>
          <w:p w14:paraId="5A7AA040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Classified (2)</w:t>
            </w:r>
          </w:p>
        </w:tc>
        <w:tc>
          <w:tcPr>
            <w:tcW w:w="2337" w:type="dxa"/>
          </w:tcPr>
          <w:p w14:paraId="2D62A938" w14:textId="77777777" w:rsidR="001653C3" w:rsidRPr="001653C3" w:rsidRDefault="001653C3" w:rsidP="000C454B">
            <w:pPr>
              <w:pStyle w:val="Heading2"/>
              <w:rPr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Evelyn Lindley</w:t>
            </w:r>
            <w:r w:rsidRPr="001653C3">
              <w:rPr>
                <w:color w:val="auto"/>
                <w:sz w:val="18"/>
                <w:szCs w:val="18"/>
              </w:rPr>
              <w:t xml:space="preserve">; </w:t>
            </w:r>
            <w:r w:rsidRPr="001653C3">
              <w:rPr>
                <w:b/>
                <w:bCs/>
                <w:color w:val="auto"/>
                <w:sz w:val="18"/>
                <w:szCs w:val="18"/>
              </w:rPr>
              <w:t>Jessie Ventulan</w:t>
            </w:r>
          </w:p>
        </w:tc>
        <w:tc>
          <w:tcPr>
            <w:tcW w:w="2338" w:type="dxa"/>
          </w:tcPr>
          <w:p w14:paraId="3D028763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Rainbow Alliance of District </w:t>
            </w:r>
            <w:proofErr w:type="gramStart"/>
            <w:r w:rsidRPr="001653C3">
              <w:rPr>
                <w:b/>
                <w:bCs/>
                <w:color w:val="auto"/>
                <w:sz w:val="18"/>
                <w:szCs w:val="18"/>
              </w:rPr>
              <w:t>Employees(</w:t>
            </w:r>
            <w:proofErr w:type="gramEnd"/>
            <w:r w:rsidRPr="001653C3">
              <w:rPr>
                <w:b/>
                <w:bCs/>
                <w:color w:val="auto"/>
                <w:sz w:val="18"/>
                <w:szCs w:val="18"/>
              </w:rPr>
              <w:t>1)</w:t>
            </w:r>
          </w:p>
        </w:tc>
        <w:tc>
          <w:tcPr>
            <w:tcW w:w="2338" w:type="dxa"/>
          </w:tcPr>
          <w:p w14:paraId="2510A3BA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Ariel Gentalen</w:t>
            </w:r>
          </w:p>
        </w:tc>
      </w:tr>
      <w:tr w:rsidR="001653C3" w:rsidRPr="001653C3" w14:paraId="05BDEF17" w14:textId="77777777" w:rsidTr="000C454B">
        <w:tc>
          <w:tcPr>
            <w:tcW w:w="2337" w:type="dxa"/>
          </w:tcPr>
          <w:p w14:paraId="02DBE84C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Faculty (2)</w:t>
            </w:r>
          </w:p>
        </w:tc>
        <w:tc>
          <w:tcPr>
            <w:tcW w:w="2337" w:type="dxa"/>
          </w:tcPr>
          <w:p w14:paraId="496B532C" w14:textId="77777777" w:rsidR="001653C3" w:rsidRPr="001653C3" w:rsidRDefault="001653C3" w:rsidP="000C454B">
            <w:pPr>
              <w:pStyle w:val="Heading2"/>
              <w:rPr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Citlally Santana, </w:t>
            </w:r>
            <w:r w:rsidRPr="001405C0">
              <w:rPr>
                <w:b/>
                <w:bCs/>
                <w:color w:val="E97132" w:themeColor="accent2"/>
                <w:sz w:val="18"/>
                <w:szCs w:val="18"/>
              </w:rPr>
              <w:t>Jewell Taylor</w:t>
            </w:r>
          </w:p>
        </w:tc>
        <w:tc>
          <w:tcPr>
            <w:tcW w:w="2338" w:type="dxa"/>
          </w:tcPr>
          <w:p w14:paraId="3562953B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Latino Faculty and Staff Association (1)</w:t>
            </w:r>
          </w:p>
        </w:tc>
        <w:tc>
          <w:tcPr>
            <w:tcW w:w="2338" w:type="dxa"/>
          </w:tcPr>
          <w:p w14:paraId="2203C589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</w:tr>
      <w:tr w:rsidR="001653C3" w:rsidRPr="001653C3" w14:paraId="63A1D6D2" w14:textId="77777777" w:rsidTr="000C454B">
        <w:trPr>
          <w:trHeight w:val="70"/>
        </w:trPr>
        <w:tc>
          <w:tcPr>
            <w:tcW w:w="2337" w:type="dxa"/>
          </w:tcPr>
          <w:p w14:paraId="628A026C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Management (2)</w:t>
            </w:r>
          </w:p>
        </w:tc>
        <w:tc>
          <w:tcPr>
            <w:tcW w:w="2337" w:type="dxa"/>
          </w:tcPr>
          <w:p w14:paraId="638BC47F" w14:textId="77777777" w:rsidR="001653C3" w:rsidRPr="001653C3" w:rsidRDefault="001653C3" w:rsidP="000C454B">
            <w:pPr>
              <w:pStyle w:val="Heading2"/>
              <w:rPr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Connie Moreno Yamashiro; Carlos Aguirre</w:t>
            </w:r>
          </w:p>
        </w:tc>
        <w:tc>
          <w:tcPr>
            <w:tcW w:w="2338" w:type="dxa"/>
          </w:tcPr>
          <w:p w14:paraId="03FE1F1F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Asian Pacific Islander Desi American FSA (1)</w:t>
            </w:r>
          </w:p>
        </w:tc>
        <w:tc>
          <w:tcPr>
            <w:tcW w:w="2338" w:type="dxa"/>
          </w:tcPr>
          <w:p w14:paraId="46FC99B7" w14:textId="77777777" w:rsidR="001653C3" w:rsidRPr="001653C3" w:rsidRDefault="001653C3" w:rsidP="000C454B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1405C0">
              <w:rPr>
                <w:b/>
                <w:color w:val="E97132" w:themeColor="accent2"/>
                <w:sz w:val="18"/>
                <w:szCs w:val="18"/>
              </w:rPr>
              <w:t>Annie Liu</w:t>
            </w:r>
            <w:r w:rsidRPr="001653C3">
              <w:rPr>
                <w:b/>
                <w:color w:val="auto"/>
                <w:sz w:val="18"/>
                <w:szCs w:val="18"/>
              </w:rPr>
              <w:t>, Rachel Reyes</w:t>
            </w:r>
          </w:p>
        </w:tc>
      </w:tr>
      <w:tr w:rsidR="001653C3" w:rsidRPr="001653C3" w14:paraId="63088988" w14:textId="77777777" w:rsidTr="000C454B">
        <w:tc>
          <w:tcPr>
            <w:tcW w:w="2337" w:type="dxa"/>
          </w:tcPr>
          <w:p w14:paraId="52BB3238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Disability Support Svc. (1)</w:t>
            </w:r>
          </w:p>
        </w:tc>
        <w:tc>
          <w:tcPr>
            <w:tcW w:w="2337" w:type="dxa"/>
          </w:tcPr>
          <w:p w14:paraId="728278D0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405C0">
              <w:rPr>
                <w:b/>
                <w:bCs/>
                <w:color w:val="E97132" w:themeColor="accent2"/>
                <w:sz w:val="18"/>
                <w:szCs w:val="18"/>
              </w:rPr>
              <w:t>Cristina Arellano</w:t>
            </w:r>
          </w:p>
        </w:tc>
        <w:tc>
          <w:tcPr>
            <w:tcW w:w="2338" w:type="dxa"/>
          </w:tcPr>
          <w:p w14:paraId="1261C80A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Native American </w:t>
            </w:r>
            <w:r w:rsidRPr="001653C3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8" w:type="dxa"/>
          </w:tcPr>
          <w:p w14:paraId="4C43E081" w14:textId="77777777" w:rsidR="001653C3" w:rsidRPr="001653C3" w:rsidRDefault="001653C3" w:rsidP="000C454B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1653C3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1405C0">
              <w:rPr>
                <w:b/>
                <w:color w:val="E97132" w:themeColor="accent2"/>
                <w:sz w:val="18"/>
                <w:szCs w:val="18"/>
              </w:rPr>
              <w:t>Ericka Adakai</w:t>
            </w:r>
          </w:p>
        </w:tc>
      </w:tr>
      <w:tr w:rsidR="001653C3" w:rsidRPr="001653C3" w14:paraId="03DC391B" w14:textId="77777777" w:rsidTr="000C454B">
        <w:tc>
          <w:tcPr>
            <w:tcW w:w="2337" w:type="dxa"/>
          </w:tcPr>
          <w:p w14:paraId="599109FC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Southwest Asian and North African </w:t>
            </w:r>
            <w:r w:rsidRPr="001653C3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1653C3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7" w:type="dxa"/>
          </w:tcPr>
          <w:p w14:paraId="2C38F1BF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1653C3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  <w:tc>
          <w:tcPr>
            <w:tcW w:w="2338" w:type="dxa"/>
          </w:tcPr>
          <w:p w14:paraId="1F9F0721" w14:textId="77777777" w:rsidR="001653C3" w:rsidRPr="001653C3" w:rsidRDefault="001653C3" w:rsidP="000C454B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</w:tcPr>
          <w:p w14:paraId="32E12F31" w14:textId="77777777" w:rsidR="001653C3" w:rsidRPr="001653C3" w:rsidRDefault="001653C3" w:rsidP="000C454B">
            <w:pPr>
              <w:pStyle w:val="Heading2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32876D2B" w14:textId="77777777" w:rsidR="001653C3" w:rsidRPr="001653C3" w:rsidRDefault="001653C3" w:rsidP="001653C3">
      <w:r w:rsidRPr="001653C3">
        <w:t>CO-CHAIRS- Connie Moreno Yamashiro and Evelyn Lindley</w:t>
      </w:r>
    </w:p>
    <w:p w14:paraId="1073D27B" w14:textId="77777777" w:rsidR="001653C3" w:rsidRPr="001653C3" w:rsidRDefault="001653C3" w:rsidP="001653C3"/>
    <w:p w14:paraId="465E7394" w14:textId="0A0D8085" w:rsidR="001653C3" w:rsidRPr="001653C3" w:rsidRDefault="001653C3" w:rsidP="001653C3">
      <w:r w:rsidRPr="001653C3">
        <w:t>Resource Members in attendance: Danny Gutierrez, Vinnie Wu, Temperence Dowdle</w:t>
      </w:r>
      <w:r w:rsidR="001405C0">
        <w:t xml:space="preserve">, </w:t>
      </w:r>
      <w:r w:rsidR="003668A1">
        <w:t>Megan Debin</w:t>
      </w:r>
      <w:r w:rsidR="001405C0">
        <w:t xml:space="preserve">, John Quinn, </w:t>
      </w:r>
      <w:r w:rsidR="00434549">
        <w:t>Julio Reyes Cabezas</w:t>
      </w:r>
      <w:r w:rsidR="00017D94">
        <w:t>, and Amber</w:t>
      </w:r>
    </w:p>
    <w:p w14:paraId="3084C5C4" w14:textId="77777777" w:rsidR="001653C3" w:rsidRDefault="001653C3" w:rsidP="001653C3"/>
    <w:p w14:paraId="70A3B13D" w14:textId="77777777" w:rsidR="001653C3" w:rsidRDefault="001653C3" w:rsidP="001653C3">
      <w:r>
        <w:t>C. Moreno Yamashiro will facilitate the meeting.</w:t>
      </w:r>
    </w:p>
    <w:p w14:paraId="52D36479" w14:textId="77777777" w:rsidR="001653C3" w:rsidRDefault="001653C3" w:rsidP="001653C3"/>
    <w:p w14:paraId="46A0F292" w14:textId="59A1E9A6" w:rsidR="001653C3" w:rsidRDefault="001653C3" w:rsidP="001653C3">
      <w:pPr>
        <w:pStyle w:val="ListParagraph"/>
        <w:numPr>
          <w:ilvl w:val="0"/>
          <w:numId w:val="1"/>
        </w:numPr>
      </w:pPr>
      <w:r>
        <w:t xml:space="preserve">Review </w:t>
      </w:r>
      <w:r w:rsidR="003737DF">
        <w:t>Feb</w:t>
      </w:r>
      <w:r>
        <w:t>. Meeting Notes</w:t>
      </w:r>
    </w:p>
    <w:p w14:paraId="2786A16F" w14:textId="18811657" w:rsidR="001653C3" w:rsidRDefault="001653C3" w:rsidP="001653C3">
      <w:pPr>
        <w:pStyle w:val="ListParagraph"/>
        <w:numPr>
          <w:ilvl w:val="1"/>
          <w:numId w:val="1"/>
        </w:numPr>
      </w:pPr>
      <w:r>
        <w:t xml:space="preserve">Meeting Notes were approved: </w:t>
      </w:r>
      <w:r w:rsidR="003668A1">
        <w:t xml:space="preserve">9 approvals and 4 abstentions </w:t>
      </w:r>
    </w:p>
    <w:p w14:paraId="50ED244F" w14:textId="18A260ED" w:rsidR="003668A1" w:rsidRDefault="003668A1" w:rsidP="003668A1">
      <w:pPr>
        <w:pStyle w:val="ListParagraph"/>
        <w:numPr>
          <w:ilvl w:val="0"/>
          <w:numId w:val="1"/>
        </w:numPr>
      </w:pPr>
      <w:r>
        <w:t>Culturally Relevant Art Application</w:t>
      </w:r>
    </w:p>
    <w:p w14:paraId="7DEE9FE5" w14:textId="3CE7D1F2" w:rsidR="003668A1" w:rsidRDefault="0038246F" w:rsidP="003668A1">
      <w:pPr>
        <w:pStyle w:val="ListParagraph"/>
        <w:numPr>
          <w:ilvl w:val="1"/>
          <w:numId w:val="1"/>
        </w:numPr>
      </w:pPr>
      <w:r>
        <w:t>We were</w:t>
      </w:r>
      <w:r w:rsidR="003668A1">
        <w:t xml:space="preserve"> joined by John Quinn and Megan </w:t>
      </w:r>
      <w:proofErr w:type="spellStart"/>
      <w:r w:rsidR="003668A1">
        <w:t>Debin</w:t>
      </w:r>
      <w:proofErr w:type="spellEnd"/>
      <w:r w:rsidR="003668A1">
        <w:t xml:space="preserve"> to offer expertise</w:t>
      </w:r>
    </w:p>
    <w:p w14:paraId="17CC38C7" w14:textId="2EB327DC" w:rsidR="003668A1" w:rsidRDefault="003668A1" w:rsidP="003668A1">
      <w:pPr>
        <w:pStyle w:val="ListParagraph"/>
        <w:numPr>
          <w:ilvl w:val="1"/>
          <w:numId w:val="1"/>
        </w:numPr>
      </w:pPr>
      <w:r>
        <w:t xml:space="preserve">Committee agrees we are </w:t>
      </w:r>
      <w:r w:rsidR="0038246F">
        <w:t>here</w:t>
      </w:r>
      <w:r>
        <w:t xml:space="preserve"> to evaluate the </w:t>
      </w:r>
      <w:r w:rsidR="0038246F">
        <w:t>project;</w:t>
      </w:r>
      <w:r>
        <w:t xml:space="preserve"> however, the committee may bring up questions that the applicant should consider and address.</w:t>
      </w:r>
    </w:p>
    <w:p w14:paraId="6FDD9F36" w14:textId="7EBA1216" w:rsidR="003668A1" w:rsidRDefault="003668A1" w:rsidP="003668A1">
      <w:pPr>
        <w:pStyle w:val="ListParagraph"/>
        <w:numPr>
          <w:ilvl w:val="1"/>
          <w:numId w:val="1"/>
        </w:numPr>
      </w:pPr>
      <w:r>
        <w:t>Questions/concerns:</w:t>
      </w:r>
    </w:p>
    <w:p w14:paraId="53B79AD2" w14:textId="6D427E0C" w:rsidR="003668A1" w:rsidRDefault="003668A1" w:rsidP="003668A1">
      <w:pPr>
        <w:pStyle w:val="ListParagraph"/>
        <w:numPr>
          <w:ilvl w:val="2"/>
          <w:numId w:val="1"/>
        </w:numPr>
      </w:pPr>
      <w:r>
        <w:t xml:space="preserve">Damage due to sprinklers; </w:t>
      </w:r>
      <w:proofErr w:type="gramStart"/>
      <w:r>
        <w:t>applicant</w:t>
      </w:r>
      <w:proofErr w:type="gramEnd"/>
      <w:r>
        <w:t xml:space="preserve"> may need to pay for drip system installation</w:t>
      </w:r>
    </w:p>
    <w:p w14:paraId="7F0089CA" w14:textId="361E3589" w:rsidR="003668A1" w:rsidRDefault="003668A1" w:rsidP="003668A1">
      <w:pPr>
        <w:pStyle w:val="ListParagraph"/>
        <w:numPr>
          <w:ilvl w:val="2"/>
          <w:numId w:val="1"/>
        </w:numPr>
      </w:pPr>
      <w:r>
        <w:t>Damage due to water damage within the walls of the 1200 building; applicant may want to consider a different location</w:t>
      </w:r>
    </w:p>
    <w:p w14:paraId="40636DC4" w14:textId="551F5D8F" w:rsidR="000B0518" w:rsidRDefault="000B0518" w:rsidP="003668A1">
      <w:pPr>
        <w:pStyle w:val="ListParagraph"/>
        <w:numPr>
          <w:ilvl w:val="2"/>
          <w:numId w:val="1"/>
        </w:numPr>
      </w:pPr>
      <w:r>
        <w:t xml:space="preserve">Color touch </w:t>
      </w:r>
      <w:proofErr w:type="gramStart"/>
      <w:r>
        <w:t>up</w:t>
      </w:r>
      <w:proofErr w:type="gramEnd"/>
      <w:r>
        <w:t xml:space="preserve"> needed due to sun and/or water damage; will the artist be required for painting touch ups?</w:t>
      </w:r>
    </w:p>
    <w:p w14:paraId="6F82CF42" w14:textId="4FF32EE1" w:rsidR="000B0518" w:rsidRDefault="000B0518" w:rsidP="003668A1">
      <w:pPr>
        <w:pStyle w:val="ListParagraph"/>
        <w:numPr>
          <w:ilvl w:val="2"/>
          <w:numId w:val="1"/>
        </w:numPr>
      </w:pPr>
      <w:r>
        <w:lastRenderedPageBreak/>
        <w:t xml:space="preserve">Campus facilities </w:t>
      </w:r>
      <w:proofErr w:type="gramStart"/>
      <w:r>
        <w:t>does</w:t>
      </w:r>
      <w:proofErr w:type="gramEnd"/>
      <w:r>
        <w:t xml:space="preserve"> not supply any scaffolding equipment and if artist supplies </w:t>
      </w:r>
      <w:r w:rsidR="0038246F">
        <w:t>scaffolding,</w:t>
      </w:r>
      <w:r>
        <w:t xml:space="preserve"> applicant will need to reach out to District Risk for further information. As well, there is concern for liability of individuals working on the scaffolding.</w:t>
      </w:r>
    </w:p>
    <w:p w14:paraId="21B28C68" w14:textId="5B531840" w:rsidR="000B0518" w:rsidRDefault="000B0518" w:rsidP="000B0518">
      <w:pPr>
        <w:pStyle w:val="ListParagraph"/>
        <w:numPr>
          <w:ilvl w:val="2"/>
          <w:numId w:val="1"/>
        </w:numPr>
      </w:pPr>
      <w:r>
        <w:t>Use of paneling suggested; in case of relocation of piece/division. Paneling also allows for more community participation without scaffolding risks.</w:t>
      </w:r>
    </w:p>
    <w:p w14:paraId="48D8D53C" w14:textId="3BB291C2" w:rsidR="005F031A" w:rsidRPr="005F031A" w:rsidRDefault="005F031A" w:rsidP="005F031A">
      <w:pPr>
        <w:pStyle w:val="ListParagraph"/>
        <w:numPr>
          <w:ilvl w:val="2"/>
          <w:numId w:val="1"/>
        </w:numPr>
      </w:pPr>
      <w:proofErr w:type="gramStart"/>
      <w:r w:rsidRPr="005F031A">
        <w:t>Artist</w:t>
      </w:r>
      <w:proofErr w:type="gramEnd"/>
      <w:r w:rsidRPr="005F031A">
        <w:t xml:space="preserve"> </w:t>
      </w:r>
      <w:r>
        <w:t xml:space="preserve">will </w:t>
      </w:r>
      <w:r w:rsidRPr="005F031A">
        <w:t>need to supply all tools and equipment, including ladders, lifts or scaffolding, along with obtaining insurance coverage</w:t>
      </w:r>
    </w:p>
    <w:p w14:paraId="3D65F858" w14:textId="76D74A7C" w:rsidR="000B0518" w:rsidRDefault="000B0518" w:rsidP="003668A1">
      <w:pPr>
        <w:pStyle w:val="ListParagraph"/>
        <w:numPr>
          <w:ilvl w:val="0"/>
          <w:numId w:val="1"/>
        </w:numPr>
      </w:pPr>
      <w:r>
        <w:t>Review of timeline</w:t>
      </w:r>
    </w:p>
    <w:p w14:paraId="2EC70BF3" w14:textId="76CABB79" w:rsidR="00045277" w:rsidRDefault="00045277" w:rsidP="00045277">
      <w:pPr>
        <w:pStyle w:val="ListParagraph"/>
        <w:numPr>
          <w:ilvl w:val="1"/>
          <w:numId w:val="1"/>
        </w:numPr>
      </w:pPr>
      <w:r>
        <w:t>Reiterated timeline with notation made for the upcoming roadshow.</w:t>
      </w:r>
    </w:p>
    <w:p w14:paraId="73EC397F" w14:textId="0E4C0DC5" w:rsidR="001653C3" w:rsidRDefault="003668A1" w:rsidP="0038246F">
      <w:pPr>
        <w:pStyle w:val="ListParagraph"/>
        <w:numPr>
          <w:ilvl w:val="0"/>
          <w:numId w:val="1"/>
        </w:numPr>
      </w:pPr>
      <w:r>
        <w:t>Breakout Groups to work on Goals</w:t>
      </w:r>
    </w:p>
    <w:p w14:paraId="620B05CC" w14:textId="77777777" w:rsidR="001653C3" w:rsidRDefault="001653C3" w:rsidP="001653C3"/>
    <w:p w14:paraId="201292F9" w14:textId="25309728" w:rsidR="001653C3" w:rsidRDefault="001653C3" w:rsidP="001653C3">
      <w:r>
        <w:t xml:space="preserve">Next Meeting: Wednesday, </w:t>
      </w:r>
      <w:r w:rsidR="00156B12">
        <w:t>April 15</w:t>
      </w:r>
      <w:r>
        <w:t xml:space="preserve">, </w:t>
      </w:r>
      <w:proofErr w:type="gramStart"/>
      <w:r>
        <w:t>2026</w:t>
      </w:r>
      <w:proofErr w:type="gramEnd"/>
      <w:r>
        <w:t xml:space="preserve"> 3:00PM – 4:30PM</w:t>
      </w:r>
    </w:p>
    <w:p w14:paraId="039D2FCE" w14:textId="77777777" w:rsidR="001653C3" w:rsidRDefault="001653C3" w:rsidP="001653C3"/>
    <w:p w14:paraId="4F5AEBE8" w14:textId="77777777" w:rsidR="001A1484" w:rsidRDefault="001A1484"/>
    <w:sectPr w:rsidR="001A1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73097"/>
    <w:multiLevelType w:val="hybridMultilevel"/>
    <w:tmpl w:val="A678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0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3C3"/>
    <w:rsid w:val="00017D94"/>
    <w:rsid w:val="00045277"/>
    <w:rsid w:val="000839DF"/>
    <w:rsid w:val="000B0518"/>
    <w:rsid w:val="001405C0"/>
    <w:rsid w:val="00156B12"/>
    <w:rsid w:val="001653C3"/>
    <w:rsid w:val="001A1484"/>
    <w:rsid w:val="001C2A68"/>
    <w:rsid w:val="0031143D"/>
    <w:rsid w:val="003668A1"/>
    <w:rsid w:val="003737DF"/>
    <w:rsid w:val="0038246F"/>
    <w:rsid w:val="00434549"/>
    <w:rsid w:val="005868FE"/>
    <w:rsid w:val="005F031A"/>
    <w:rsid w:val="00604821"/>
    <w:rsid w:val="006B0D3A"/>
    <w:rsid w:val="008C3754"/>
    <w:rsid w:val="00B347E9"/>
    <w:rsid w:val="00BB4926"/>
    <w:rsid w:val="00DB0C8E"/>
    <w:rsid w:val="00E91E9B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F00B"/>
  <w15:chartTrackingRefBased/>
  <w15:docId w15:val="{280592DB-5519-472A-A48E-49613F7C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C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3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3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3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3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5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3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3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3C3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1653C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1653C3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ullcoll-edu.zoom.us/j/84974306423?pwd=npD4BaXq0DiDrwzb0cOgXg4LaKxYpQ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399</Words>
  <Characters>2075</Characters>
  <Application>Microsoft Office Word</Application>
  <DocSecurity>0</DocSecurity>
  <Lines>35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10</cp:revision>
  <cp:lastPrinted>2026-03-04T23:02:00Z</cp:lastPrinted>
  <dcterms:created xsi:type="dcterms:W3CDTF">2026-02-23T18:41:00Z</dcterms:created>
  <dcterms:modified xsi:type="dcterms:W3CDTF">2026-04-15T23:04:00Z</dcterms:modified>
</cp:coreProperties>
</file>