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926DE" w:rsidP="1B528DB2" w:rsidRDefault="00E926DE" w14:paraId="63A82474" w14:textId="545750A2">
      <w:pPr>
        <w:pStyle w:val="BodyText"/>
        <w:spacing w:before="116"/>
        <w:rPr>
          <w:sz w:val="30"/>
          <w:szCs w:val="30"/>
        </w:rPr>
      </w:pPr>
      <w:r w:rsidRPr="1B528DB2" w:rsidR="783D82AF">
        <w:rPr>
          <w:sz w:val="30"/>
          <w:szCs w:val="30"/>
        </w:rPr>
        <w:t>p</w:t>
      </w:r>
    </w:p>
    <w:p w:rsidR="00E926DE" w:rsidRDefault="009459C6" w14:paraId="448B6C87" w14:textId="77777777">
      <w:pPr>
        <w:pStyle w:val="Title"/>
      </w:pPr>
      <w:r>
        <w:rPr>
          <w:noProof/>
        </w:rPr>
        <w:drawing>
          <wp:anchor distT="0" distB="0" distL="0" distR="0" simplePos="0" relativeHeight="15729664" behindDoc="0" locked="0" layoutInCell="1" allowOverlap="1" wp14:anchorId="6E3DF89C" wp14:editId="5A775E59">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rsidR="00E926DE" w:rsidRDefault="00E926DE" w14:paraId="33CF5095" w14:textId="77777777">
      <w:pPr>
        <w:pStyle w:val="BodyText"/>
        <w:rPr>
          <w:b/>
        </w:rPr>
      </w:pPr>
    </w:p>
    <w:p w:rsidR="00E926DE" w:rsidRDefault="00E926DE" w14:paraId="3353404B" w14:textId="77777777">
      <w:pPr>
        <w:pStyle w:val="BodyText"/>
        <w:rPr>
          <w:b/>
        </w:rPr>
      </w:pPr>
    </w:p>
    <w:p w:rsidR="00E926DE" w:rsidRDefault="00E926DE" w14:paraId="1BD640C2" w14:textId="77777777">
      <w:pPr>
        <w:pStyle w:val="BodyText"/>
        <w:spacing w:before="99"/>
        <w:rPr>
          <w:b/>
        </w:rPr>
      </w:pPr>
    </w:p>
    <w:p w:rsidR="00E926DE" w:rsidRDefault="009459C6" w14:paraId="057F1F35" w14:textId="77777777">
      <w:pPr>
        <w:pStyle w:val="Heading2"/>
        <w:spacing w:before="1"/>
      </w:pPr>
      <w:r>
        <w:rPr>
          <w:spacing w:val="-2"/>
        </w:rPr>
        <w:t>BACKGROUND:</w:t>
      </w:r>
    </w:p>
    <w:p w:rsidRPr="00724C71" w:rsidR="00E926DE" w:rsidRDefault="009459C6" w14:paraId="78DCE7BA" w14:textId="77777777">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rsidRPr="00724C71" w:rsidR="00E926DE" w:rsidRDefault="009459C6" w14:paraId="4DB2C29B" w14:textId="77777777">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rsidR="00E926DE" w:rsidRDefault="00E926DE" w14:paraId="5DE08DD9" w14:textId="77777777">
      <w:pPr>
        <w:pStyle w:val="BodyText"/>
        <w:spacing w:before="12"/>
      </w:pPr>
    </w:p>
    <w:p w:rsidR="00E926DE" w:rsidRDefault="009459C6" w14:paraId="0AAE99FF" w14:textId="77777777">
      <w:pPr>
        <w:pStyle w:val="Heading2"/>
      </w:pPr>
      <w:r>
        <w:rPr>
          <w:spacing w:val="-2"/>
        </w:rPr>
        <w:t>SUBMISSION:</w:t>
      </w:r>
    </w:p>
    <w:p w:rsidRPr="00F2086B" w:rsidR="003A4464" w:rsidRDefault="009459C6" w14:paraId="67568F25" w14:textId="77777777">
      <w:pPr>
        <w:tabs>
          <w:tab w:val="left" w:pos="4315"/>
          <w:tab w:val="left" w:pos="8199"/>
        </w:tabs>
        <w:spacing w:before="170"/>
        <w:ind w:left="140"/>
        <w:rPr>
          <w:b/>
          <w:bCs/>
          <w:spacing w:val="-2"/>
        </w:rPr>
      </w:pPr>
      <w:r w:rsidRPr="00F2086B">
        <w:rPr>
          <w:b/>
          <w:bCs/>
          <w:spacing w:val="-2"/>
        </w:rPr>
        <w:t>Program:</w:t>
      </w:r>
      <w:r w:rsidRPr="00F2086B" w:rsidR="003A4464">
        <w:rPr>
          <w:b/>
          <w:bCs/>
          <w:spacing w:val="-2"/>
        </w:rPr>
        <w:t xml:space="preserve"> </w:t>
      </w:r>
    </w:p>
    <w:p w:rsidR="00133090" w:rsidRDefault="007C52D7" w14:paraId="7EBE7187" w14:textId="36D5640A">
      <w:pPr>
        <w:tabs>
          <w:tab w:val="left" w:pos="4315"/>
          <w:tab w:val="left" w:pos="8199"/>
        </w:tabs>
        <w:spacing w:before="170"/>
        <w:ind w:left="140"/>
      </w:pPr>
      <w:r w:rsidRPr="007C52D7">
        <w:t>Student Health Services</w:t>
      </w:r>
    </w:p>
    <w:p w:rsidR="00133090" w:rsidRDefault="00133090" w14:paraId="6B16483E" w14:textId="77777777">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Pr="00F2086B" w:rsidR="009459C6">
        <w:rPr>
          <w:b/>
          <w:bCs/>
          <w:spacing w:val="-2"/>
        </w:rPr>
        <w:t>:</w:t>
      </w:r>
    </w:p>
    <w:p w:rsidRPr="00AC4161" w:rsidR="00C17F22" w:rsidRDefault="007C52D7" w14:paraId="50DE6AA2" w14:textId="6B189BB4">
      <w:pPr>
        <w:tabs>
          <w:tab w:val="left" w:pos="4315"/>
          <w:tab w:val="left" w:pos="8199"/>
        </w:tabs>
        <w:spacing w:before="170"/>
        <w:ind w:left="140"/>
        <w:rPr>
          <w:spacing w:val="-2"/>
        </w:rPr>
      </w:pPr>
      <w:r w:rsidRPr="007C52D7">
        <w:rPr>
          <w:spacing w:val="-2"/>
        </w:rPr>
        <w:t>Theresa Ullrich</w:t>
      </w:r>
    </w:p>
    <w:p w:rsidRPr="00F2086B" w:rsidR="00F2086B" w:rsidRDefault="00177957" w14:paraId="7FADA948" w14:textId="77777777">
      <w:pPr>
        <w:tabs>
          <w:tab w:val="left" w:pos="4315"/>
          <w:tab w:val="left" w:pos="8199"/>
        </w:tabs>
        <w:spacing w:before="170"/>
        <w:ind w:left="140"/>
        <w:rPr>
          <w:b/>
          <w:bCs/>
          <w:spacing w:val="-2"/>
        </w:rPr>
      </w:pPr>
      <w:r>
        <w:rPr>
          <w:b/>
          <w:bCs/>
          <w:spacing w:val="-2"/>
        </w:rPr>
        <w:t>Manager</w:t>
      </w:r>
      <w:r w:rsidRPr="00F2086B" w:rsidR="00133090">
        <w:rPr>
          <w:b/>
          <w:bCs/>
          <w:spacing w:val="-2"/>
        </w:rPr>
        <w:t>:</w:t>
      </w:r>
    </w:p>
    <w:p w:rsidRPr="00AC4161" w:rsidR="00133090" w:rsidRDefault="007C52D7" w14:paraId="44442698" w14:textId="1CB5B143">
      <w:pPr>
        <w:tabs>
          <w:tab w:val="left" w:pos="4315"/>
          <w:tab w:val="left" w:pos="8199"/>
        </w:tabs>
        <w:spacing w:before="170"/>
        <w:ind w:left="140"/>
      </w:pPr>
      <w:r>
        <w:t>Naomi Abesamis</w:t>
      </w:r>
      <w:r w:rsidRPr="00AC4161" w:rsidR="009459C6">
        <w:tab/>
      </w:r>
    </w:p>
    <w:p w:rsidR="00194E07" w:rsidP="00626632" w:rsidRDefault="00133090" w14:paraId="05895D61" w14:textId="77777777">
      <w:pPr>
        <w:tabs>
          <w:tab w:val="left" w:pos="4315"/>
          <w:tab w:val="left" w:pos="8199"/>
        </w:tabs>
        <w:spacing w:before="170"/>
        <w:ind w:left="140"/>
        <w:rPr>
          <w:b/>
          <w:bCs/>
          <w:spacing w:val="-2"/>
        </w:rPr>
      </w:pPr>
      <w:r w:rsidRPr="00F2086B">
        <w:rPr>
          <w:b/>
          <w:bCs/>
          <w:spacing w:val="-2"/>
        </w:rPr>
        <w:t xml:space="preserve">Submission </w:t>
      </w:r>
      <w:r w:rsidRPr="00F2086B" w:rsidR="009459C6">
        <w:rPr>
          <w:b/>
          <w:bCs/>
          <w:spacing w:val="-2"/>
        </w:rPr>
        <w:t>Date:</w:t>
      </w:r>
      <w:r w:rsidRPr="00F2086B">
        <w:rPr>
          <w:b/>
          <w:bCs/>
          <w:spacing w:val="-2"/>
        </w:rPr>
        <w:t xml:space="preserve"> </w:t>
      </w:r>
    </w:p>
    <w:p w:rsidRPr="00626632" w:rsidR="00626632" w:rsidP="00626632" w:rsidRDefault="007C52D7" w14:paraId="01D002A5" w14:textId="0BFFDE0A">
      <w:pPr>
        <w:tabs>
          <w:tab w:val="left" w:pos="4315"/>
          <w:tab w:val="left" w:pos="8199"/>
        </w:tabs>
        <w:spacing w:before="170"/>
        <w:ind w:left="140"/>
        <w:rPr>
          <w:spacing w:val="-2"/>
        </w:rPr>
      </w:pPr>
      <w:r w:rsidRPr="007C52D7">
        <w:t>11/27/2024 8:23:14 AM</w:t>
      </w:r>
    </w:p>
    <w:p w:rsidR="003A4464" w:rsidRDefault="003A4464" w14:paraId="24023475" w14:textId="77777777"/>
    <w:p w:rsidR="003A4464" w:rsidRDefault="003A4464" w14:paraId="03A32F0C" w14:textId="77777777"/>
    <w:p w:rsidR="003A4464" w:rsidRDefault="003A4464" w14:paraId="26508EDE" w14:textId="77777777"/>
    <w:p w:rsidR="003A4464" w:rsidRDefault="003A4464" w14:paraId="7B859444" w14:textId="77777777"/>
    <w:p w:rsidR="00626632" w:rsidRDefault="00626632" w14:paraId="4E95E8B1" w14:textId="77777777"/>
    <w:p w:rsidR="003A4464" w:rsidRDefault="003A4464" w14:paraId="680CAF08" w14:textId="77777777"/>
    <w:p w:rsidR="003A4464" w:rsidRDefault="003A4464" w14:paraId="49A3B2DA" w14:textId="77777777"/>
    <w:p w:rsidR="003A4464" w:rsidRDefault="003A4464" w14:paraId="28113315" w14:textId="77777777"/>
    <w:p w:rsidR="003A4464" w:rsidRDefault="003A4464" w14:paraId="36E176F5" w14:textId="77777777"/>
    <w:p w:rsidR="003A4464" w:rsidRDefault="003A4464" w14:paraId="029D760A" w14:textId="77777777"/>
    <w:p w:rsidR="00194E07" w:rsidRDefault="00194E07" w14:paraId="6DC619B9" w14:textId="77777777"/>
    <w:p w:rsidR="00F2086B" w:rsidRDefault="00F2086B" w14:paraId="63D5C1F9" w14:textId="77777777"/>
    <w:p w:rsidR="00F2086B" w:rsidRDefault="00F2086B" w14:paraId="1A7F504A" w14:textId="77777777"/>
    <w:p w:rsidR="00194E07" w:rsidRDefault="00194E07" w14:paraId="2137F0C4" w14:textId="77777777"/>
    <w:p w:rsidR="00194E07" w:rsidRDefault="00194E07" w14:paraId="7A1C466C" w14:textId="77777777"/>
    <w:p w:rsidRPr="00724C71" w:rsidR="00194E07" w:rsidRDefault="00194E07" w14:paraId="29C6986B" w14:textId="7777777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Pr="00194E07" w:rsidR="00194E07" w:rsidTr="00194E07" w14:paraId="0F242324" w14:textId="77777777">
        <w:tc>
          <w:tcPr>
            <w:tcW w:w="10656" w:type="dxa"/>
          </w:tcPr>
          <w:p w:rsidRPr="00194E07" w:rsidR="00194E07" w:rsidP="00DD7AE9" w:rsidRDefault="007C52D7" w14:paraId="42D20C06" w14:textId="322788C4">
            <w:r w:rsidRPr="007C52D7">
              <w:t>Electronically signed by Theresa Ullrich on 11/26/2024 4:09:32 PM</w:t>
            </w:r>
          </w:p>
        </w:tc>
      </w:tr>
    </w:tbl>
    <w:p w:rsidRPr="00724C71" w:rsidR="00194E07" w:rsidRDefault="00194E07" w14:paraId="7864D133" w14:textId="7777777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rsidTr="00194E07" w14:paraId="653672F5" w14:textId="77777777">
        <w:tc>
          <w:tcPr>
            <w:tcW w:w="10656" w:type="dxa"/>
          </w:tcPr>
          <w:p w:rsidR="00194E07" w:rsidP="009A0559" w:rsidRDefault="007C52D7" w14:paraId="4EBA8969" w14:textId="4C441A95">
            <w:r w:rsidRPr="007C52D7">
              <w:t xml:space="preserve">Electronically signed by </w:t>
            </w:r>
            <w:proofErr w:type="gramStart"/>
            <w:r w:rsidRPr="007C52D7">
              <w:t>Naomi  Abesamis</w:t>
            </w:r>
            <w:proofErr w:type="gramEnd"/>
            <w:r w:rsidRPr="007C52D7">
              <w:t xml:space="preserve"> on 11/27/2024 8:23:14 AM</w:t>
            </w:r>
          </w:p>
        </w:tc>
      </w:tr>
    </w:tbl>
    <w:p w:rsidR="00194E07" w:rsidRDefault="00194E07" w14:paraId="74E51DD5" w14:textId="77777777">
      <w:pPr>
        <w:sectPr w:rsidR="00194E07">
          <w:footerReference w:type="default" r:id="rId8"/>
          <w:type w:val="continuous"/>
          <w:pgSz w:w="12240" w:h="15840" w:orient="portrait"/>
          <w:pgMar w:top="720" w:right="740" w:bottom="600" w:left="1060" w:header="0" w:footer="418" w:gutter="0"/>
          <w:pgNumType w:start="1"/>
          <w:cols w:space="720"/>
        </w:sectPr>
      </w:pPr>
    </w:p>
    <w:p w:rsidR="00FC2B4D" w:rsidP="006E602B" w:rsidRDefault="009459C6" w14:paraId="14B665C0" w14:textId="77777777">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rsidR="006E602B" w:rsidP="006E602B" w:rsidRDefault="006E602B" w14:paraId="346A237C" w14:textId="77777777">
      <w:pPr>
        <w:pStyle w:val="Heading1"/>
      </w:pPr>
    </w:p>
    <w:p w:rsidR="00FC2B4D" w:rsidP="00FC2B4D" w:rsidRDefault="006E602B" w14:paraId="66E01061" w14:textId="77777777">
      <w:pPr>
        <w:numPr>
          <w:ilvl w:val="0"/>
          <w:numId w:val="5"/>
        </w:numPr>
        <w:rPr>
          <w:b/>
          <w:bCs/>
        </w:rPr>
      </w:pPr>
      <w:r w:rsidRPr="006E602B">
        <w:rPr>
          <w:b/>
          <w:bCs/>
        </w:rPr>
        <w:t>List the outcomes from your Fall 2022 self-study. Which outcomes has your program assessed in the last year and/or which do you plan to assess in the coming year?</w:t>
      </w:r>
    </w:p>
    <w:p w:rsidR="00FC2B4D" w:rsidP="00FC2B4D" w:rsidRDefault="00FC2B4D" w14:paraId="3CE14C41" w14:textId="77777777"/>
    <w:p w:rsidR="007C52D7" w:rsidP="007C52D7" w:rsidRDefault="007C52D7" w14:paraId="7CFD5C5E" w14:textId="77777777"/>
    <w:p w:rsidR="007C52D7" w:rsidP="007C52D7" w:rsidRDefault="007C52D7" w14:paraId="1ECD898C" w14:textId="77777777"/>
    <w:p w:rsidR="007C52D7" w:rsidP="007C52D7" w:rsidRDefault="007C52D7" w14:paraId="4E227C07" w14:textId="77777777">
      <w:r>
        <w:t xml:space="preserve">Outcome 4: Review EMR for further training or replacement. Due to budget constraints, we were unable </w:t>
      </w:r>
      <w:proofErr w:type="gramStart"/>
      <w:r>
        <w:t>to do</w:t>
      </w:r>
      <w:proofErr w:type="gramEnd"/>
      <w:r>
        <w:t xml:space="preserve"> wither regarding our EMR. Training is costly </w:t>
      </w:r>
      <w:proofErr w:type="gramStart"/>
      <w:r>
        <w:t>as</w:t>
      </w:r>
      <w:proofErr w:type="gramEnd"/>
      <w:r>
        <w:t xml:space="preserve"> is transitioning to a newly purchased EMR. </w:t>
      </w:r>
    </w:p>
    <w:p w:rsidR="007C52D7" w:rsidP="007C52D7" w:rsidRDefault="007C52D7" w14:paraId="1BFCECEA" w14:textId="77777777"/>
    <w:p w:rsidR="007C52D7" w:rsidP="007C52D7" w:rsidRDefault="007C52D7" w14:paraId="511994B7" w14:textId="77777777">
      <w:r>
        <w:t xml:space="preserve">5. Reinstitute campus wide programs to improve health education and health outcomes. It is hard to measure the effectiveness of programming, but we can say that our health education outreach was robust in 23-24. We reintroduced the Spring Health fair. We participated </w:t>
      </w:r>
      <w:proofErr w:type="gramStart"/>
      <w:r>
        <w:t>to support</w:t>
      </w:r>
      <w:proofErr w:type="gramEnd"/>
      <w:r>
        <w:t xml:space="preserve"> multiple campus events- such as the Halloween on the quad, Dia de Los Muertos, Mellow into Midterms, Winter Fest and many more. We also sponsored World AIDS day activities including the display of the AIDS quilt and HIV testing on the quad. We also hosted 2 </w:t>
      </w:r>
      <w:proofErr w:type="gramStart"/>
      <w:r>
        <w:t>campus</w:t>
      </w:r>
      <w:proofErr w:type="gramEnd"/>
      <w:r>
        <w:t xml:space="preserve"> wide Narcan trainings and gave </w:t>
      </w:r>
      <w:proofErr w:type="gramStart"/>
      <w:r>
        <w:t>our over</w:t>
      </w:r>
      <w:proofErr w:type="gramEnd"/>
      <w:r>
        <w:t xml:space="preserve"> 200 boxes of Narcan to students and staff. Another </w:t>
      </w:r>
      <w:proofErr w:type="gramStart"/>
      <w:r>
        <w:t>training</w:t>
      </w:r>
      <w:proofErr w:type="gramEnd"/>
      <w:r>
        <w:t xml:space="preserve"> was held for about 30 custodial staff that work evenings. </w:t>
      </w:r>
    </w:p>
    <w:p w:rsidR="007C52D7" w:rsidP="007C52D7" w:rsidRDefault="007C52D7" w14:paraId="5D6B03CD" w14:textId="77777777"/>
    <w:p w:rsidR="007C52D7" w:rsidP="007C52D7" w:rsidRDefault="007C52D7" w14:paraId="153FEEA6" w14:textId="6D7DA8B6">
      <w:r>
        <w:t>6. Reduce student illness by improving access to vaccines. We instituted the very first large-scale flu vaccine clinic on the quad and gave all 100 vaccines we were allotted by the county. These were provided free to students, faculty, and staff.</w:t>
      </w:r>
    </w:p>
    <w:p w:rsidRPr="00787B5D" w:rsidR="007C52D7" w:rsidP="007C52D7" w:rsidRDefault="007C52D7" w14:paraId="03FB3DB7" w14:textId="77777777"/>
    <w:p w:rsidR="00FC2B4D" w:rsidP="00FC2B4D" w:rsidRDefault="006E602B" w14:paraId="2A372C7C" w14:textId="77777777">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Pr="00FC2B4D" w:rsidR="00FC2B4D">
        <w:rPr>
          <w:b/>
          <w:bCs/>
        </w:rPr>
        <w:t xml:space="preserve"> </w:t>
      </w:r>
    </w:p>
    <w:p w:rsidR="00FC2B4D" w:rsidP="00FC2B4D" w:rsidRDefault="00FC2B4D" w14:paraId="21B266D8" w14:textId="77777777"/>
    <w:p w:rsidR="007C52D7" w:rsidP="007C52D7" w:rsidRDefault="007C52D7" w14:paraId="411EA545" w14:textId="77777777"/>
    <w:p w:rsidR="007C52D7" w:rsidP="007C52D7" w:rsidRDefault="007C52D7" w14:paraId="4FB721E8" w14:textId="77777777"/>
    <w:p w:rsidR="007C52D7" w:rsidP="007C52D7" w:rsidRDefault="007C52D7" w14:paraId="3F9C92F4" w14:textId="77777777">
      <w:r>
        <w:t xml:space="preserve">We have opted to continue the vaccine clinic through the county as it was very successful. </w:t>
      </w:r>
    </w:p>
    <w:p w:rsidR="007C52D7" w:rsidP="007C52D7" w:rsidRDefault="007C52D7" w14:paraId="74BE7407" w14:textId="77777777"/>
    <w:p w:rsidR="007C52D7" w:rsidP="007C52D7" w:rsidRDefault="007C52D7" w14:paraId="49762522" w14:textId="77777777">
      <w:r>
        <w:t xml:space="preserve">We will continue </w:t>
      </w:r>
      <w:proofErr w:type="gramStart"/>
      <w:r>
        <w:t>Narcan</w:t>
      </w:r>
      <w:proofErr w:type="gramEnd"/>
      <w:r>
        <w:t xml:space="preserve"> training as it is very well received. We also added Narcan to all AED boxes around campus.</w:t>
      </w:r>
    </w:p>
    <w:p w:rsidR="007C52D7" w:rsidP="007C52D7" w:rsidRDefault="007C52D7" w14:paraId="547B551A" w14:textId="77777777"/>
    <w:p w:rsidR="007C52D7" w:rsidP="007C52D7" w:rsidRDefault="007C52D7" w14:paraId="0C90D1D8" w14:textId="1A7CB8CA">
      <w:r>
        <w:t>We will continue to participate in campus wide activities to promote both physical and mental health as well as SHS services. While it is difficult to measure the success of such participation it is important to be visible to the student body.</w:t>
      </w:r>
    </w:p>
    <w:p w:rsidRPr="00787B5D" w:rsidR="007C52D7" w:rsidP="007C52D7" w:rsidRDefault="007C52D7" w14:paraId="036C8D71" w14:textId="77777777"/>
    <w:p w:rsidR="006E602B" w:rsidP="006E602B" w:rsidRDefault="006E602B" w14:paraId="54201F1F" w14:textId="77777777">
      <w:pPr>
        <w:numPr>
          <w:ilvl w:val="0"/>
          <w:numId w:val="5"/>
        </w:numPr>
        <w:rPr>
          <w:b/>
          <w:bCs/>
        </w:rPr>
      </w:pPr>
      <w:r w:rsidRPr="006E602B">
        <w:rPr>
          <w:b/>
          <w:bCs/>
        </w:rPr>
        <w:t>How is your area collecting or working to collect disaggregated, student-level outcomes assessment data?</w:t>
      </w:r>
    </w:p>
    <w:p w:rsidR="006E602B" w:rsidP="006E602B" w:rsidRDefault="006E602B" w14:paraId="6F56BA02" w14:textId="77777777"/>
    <w:p w:rsidR="007C52D7" w:rsidP="007C52D7" w:rsidRDefault="007C52D7" w14:paraId="60D0D224" w14:textId="77777777"/>
    <w:p w:rsidR="007C52D7" w:rsidP="007C52D7" w:rsidRDefault="007C52D7" w14:paraId="461A9E6C" w14:textId="77777777"/>
    <w:p w:rsidR="007C52D7" w:rsidP="007C52D7" w:rsidRDefault="007C52D7" w14:paraId="063C6BEE" w14:textId="77777777">
      <w:r>
        <w:t xml:space="preserve">We utilize our electronic medical </w:t>
      </w:r>
      <w:proofErr w:type="gramStart"/>
      <w:r>
        <w:t>record</w:t>
      </w:r>
      <w:proofErr w:type="gramEnd"/>
      <w:r>
        <w:t xml:space="preserve"> to collect and assess data. We are in the process of creating an improved exit survey to measure patient satisfaction with both medical and mental health services. </w:t>
      </w:r>
    </w:p>
    <w:p w:rsidR="007C52D7" w:rsidP="007C52D7" w:rsidRDefault="007C52D7" w14:paraId="57054301" w14:textId="77777777"/>
    <w:p w:rsidR="007C52D7" w:rsidP="007C52D7" w:rsidRDefault="007C52D7" w14:paraId="520ACE84" w14:textId="7FE86A61">
      <w:r>
        <w:t xml:space="preserve">We collect data as to the number of folks we reach at </w:t>
      </w:r>
      <w:proofErr w:type="gramStart"/>
      <w:r>
        <w:t>tabling</w:t>
      </w:r>
      <w:proofErr w:type="gramEnd"/>
      <w:r>
        <w:t xml:space="preserve"> and classroom presentations as well as numbers that attend our weekly groups- RAD and the neurodiverse hive.</w:t>
      </w:r>
    </w:p>
    <w:p w:rsidR="007C52D7" w:rsidP="007C52D7" w:rsidRDefault="007C52D7" w14:paraId="25D84CDD" w14:textId="77777777"/>
    <w:p w:rsidR="007C52D7" w:rsidP="007C52D7" w:rsidRDefault="007C52D7" w14:paraId="65FD9E65" w14:textId="77777777"/>
    <w:p w:rsidR="007C52D7" w:rsidP="007C52D7" w:rsidRDefault="007C52D7" w14:paraId="50668279" w14:textId="77777777"/>
    <w:p w:rsidR="007C52D7" w:rsidP="007C52D7" w:rsidRDefault="007C52D7" w14:paraId="5C2D18E2" w14:textId="77777777"/>
    <w:p w:rsidR="007C52D7" w:rsidP="007C52D7" w:rsidRDefault="007C52D7" w14:paraId="7D0E7B3C" w14:textId="77777777"/>
    <w:p w:rsidR="007C52D7" w:rsidP="007C52D7" w:rsidRDefault="007C52D7" w14:paraId="5CFF9E54" w14:textId="77777777"/>
    <w:p w:rsidR="007C52D7" w:rsidP="007C52D7" w:rsidRDefault="007C52D7" w14:paraId="5D3F19F4" w14:textId="77777777"/>
    <w:p w:rsidR="007C52D7" w:rsidP="007C52D7" w:rsidRDefault="007C52D7" w14:paraId="49940C64" w14:textId="77777777"/>
    <w:p w:rsidRPr="006E602B" w:rsidR="007C52D7" w:rsidP="007C52D7" w:rsidRDefault="007C52D7" w14:paraId="1DF8F72E" w14:textId="77777777"/>
    <w:p w:rsidR="00E926DE" w:rsidRDefault="009459C6" w14:paraId="6D2ABF15" w14:textId="77777777">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rsidR="00FC2B4D" w:rsidRDefault="00FC2B4D" w14:paraId="1BF17940" w14:textId="77777777">
      <w:pPr>
        <w:pStyle w:val="Heading1"/>
      </w:pPr>
    </w:p>
    <w:p w:rsidR="00FC2B4D" w:rsidP="003A4464" w:rsidRDefault="00235B4F" w14:paraId="19C54007" w14:textId="77777777">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Pr="003A4464" w:rsidR="003A4464">
            <w:rPr>
              <w:rFonts w:hint="eastAsia" w:ascii="MS Gothic" w:hAnsi="MS Gothic" w:eastAsia="MS Gothic"/>
              <w:noProof/>
              <w:sz w:val="30"/>
              <w:szCs w:val="30"/>
            </w:rPr>
            <w:t>☐</w:t>
          </w:r>
        </w:sdtContent>
      </w:sdt>
      <w:r w:rsidRPr="00724C71" w:rsidR="00FC2B4D">
        <w:rPr>
          <w:b/>
          <w:bCs/>
          <w:noProof/>
        </w:rPr>
        <w:t>We have reviewed our most recent self-study and have not identified any significant changes that necessitate resource requests for the upcoming academic year.</w:t>
      </w:r>
    </w:p>
    <w:p w:rsidRPr="00FC2B4D" w:rsidR="003A4464" w:rsidP="003A4464" w:rsidRDefault="003A4464" w14:paraId="3F3613BA" w14:textId="77777777">
      <w:pPr>
        <w:ind w:left="360"/>
        <w:rPr>
          <w:noProof/>
        </w:rPr>
      </w:pPr>
    </w:p>
    <w:p w:rsidRPr="00FC2B4D" w:rsidR="00FC2B4D" w:rsidP="003A4464" w:rsidRDefault="00235B4F" w14:paraId="189F8F7A" w14:textId="75298BC2">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7C52D7">
            <w:rPr>
              <w:rFonts w:hint="eastAsia" w:ascii="MS Gothic" w:hAnsi="MS Gothic" w:eastAsia="MS Gothic"/>
              <w:noProof/>
              <w:sz w:val="30"/>
              <w:szCs w:val="30"/>
            </w:rPr>
            <w:t>☒</w:t>
          </w:r>
        </w:sdtContent>
      </w:sdt>
      <w:r w:rsidRPr="00724C71" w:rsidR="00FC2B4D">
        <w:rPr>
          <w:b/>
          <w:bCs/>
          <w:noProof/>
        </w:rPr>
        <w:t>We have reviewed our most recent self-study and have identified significant changes that necessitate additional resource requests.</w:t>
      </w:r>
    </w:p>
    <w:p w:rsidR="003A4464" w:rsidRDefault="003A4464" w14:paraId="3C500B0B" w14:textId="77777777"/>
    <w:p w:rsidR="003A4464" w:rsidRDefault="003A4464" w14:paraId="65C48906" w14:textId="77777777"/>
    <w:p w:rsidR="003A4464" w:rsidRDefault="003A4464" w14:paraId="3FC997D3" w14:textId="77777777"/>
    <w:p w:rsidR="003A4464" w:rsidRDefault="003A4464" w14:paraId="33D26207" w14:textId="77777777"/>
    <w:p w:rsidR="003A4464" w:rsidRDefault="003A4464" w14:paraId="2907815C" w14:textId="77777777"/>
    <w:p w:rsidR="003A4464" w:rsidRDefault="003A4464" w14:paraId="1FFA5F98" w14:textId="77777777"/>
    <w:p w:rsidR="003A4464" w:rsidRDefault="003A4464" w14:paraId="63321465" w14:textId="77777777"/>
    <w:p w:rsidR="003A4464" w:rsidRDefault="003A4464" w14:paraId="13456027" w14:textId="77777777"/>
    <w:p w:rsidR="003A4464" w:rsidRDefault="003A4464" w14:paraId="67867C80" w14:textId="77777777"/>
    <w:p w:rsidR="003A4464" w:rsidRDefault="003A4464" w14:paraId="2D632D84" w14:textId="77777777"/>
    <w:p w:rsidR="003A4464" w:rsidRDefault="003A4464" w14:paraId="50D5F3D3" w14:textId="77777777"/>
    <w:p w:rsidR="003A4464" w:rsidRDefault="003A4464" w14:paraId="3AF7BB72" w14:textId="77777777"/>
    <w:p w:rsidR="003A4464" w:rsidRDefault="003A4464" w14:paraId="4CDEDD6E" w14:textId="77777777"/>
    <w:p w:rsidR="003A4464" w:rsidRDefault="003A4464" w14:paraId="1CE196B6" w14:textId="77777777"/>
    <w:p w:rsidR="003A4464" w:rsidRDefault="003A4464" w14:paraId="155F7E1D" w14:textId="77777777"/>
    <w:p w:rsidR="003A4464" w:rsidRDefault="003A4464" w14:paraId="0B75E8A5" w14:textId="77777777"/>
    <w:p w:rsidR="003A4464" w:rsidRDefault="003A4464" w14:paraId="456AA7B5" w14:textId="77777777"/>
    <w:p w:rsidR="003A4464" w:rsidRDefault="003A4464" w14:paraId="27B09336" w14:textId="77777777"/>
    <w:p w:rsidR="003A4464" w:rsidRDefault="003A4464" w14:paraId="3C0C4AE5" w14:textId="77777777"/>
    <w:p w:rsidR="003A4464" w:rsidRDefault="003A4464" w14:paraId="3EA20996" w14:textId="77777777"/>
    <w:p w:rsidR="003A4464" w:rsidRDefault="003A4464" w14:paraId="69568386" w14:textId="77777777"/>
    <w:p w:rsidR="003A4464" w:rsidRDefault="003A4464" w14:paraId="3700A92F" w14:textId="77777777"/>
    <w:p w:rsidR="003A4464" w:rsidRDefault="003A4464" w14:paraId="2F67536E" w14:textId="77777777"/>
    <w:p w:rsidR="003A4464" w:rsidRDefault="003A4464" w14:paraId="29F87742" w14:textId="77777777"/>
    <w:p w:rsidR="003A4464" w:rsidRDefault="003A4464" w14:paraId="3C03DFB7" w14:textId="77777777"/>
    <w:p w:rsidR="007C52D7" w:rsidRDefault="007C52D7" w14:paraId="7D26611C" w14:textId="77777777"/>
    <w:p w:rsidR="003A4464" w:rsidRDefault="003A4464" w14:paraId="7BAA46EB" w14:textId="77777777"/>
    <w:p w:rsidR="003A4464" w:rsidRDefault="003A4464" w14:paraId="4E6FA499" w14:textId="77777777"/>
    <w:p w:rsidR="003A4464" w:rsidRDefault="003A4464" w14:paraId="2C0A6BE8" w14:textId="77777777"/>
    <w:p w:rsidR="003A4464" w:rsidRDefault="003A4464" w14:paraId="26DA7375" w14:textId="77777777"/>
    <w:p w:rsidR="003A4464" w:rsidRDefault="003A4464" w14:paraId="258C109E" w14:textId="77777777"/>
    <w:p w:rsidR="003A4464" w:rsidRDefault="003A4464" w14:paraId="09665152" w14:textId="77777777"/>
    <w:p w:rsidR="003A4464" w:rsidRDefault="003A4464" w14:paraId="354A7B0D" w14:textId="77777777"/>
    <w:p w:rsidR="003A4464" w:rsidRDefault="003A4464" w14:paraId="055F6769" w14:textId="77777777"/>
    <w:p w:rsidR="003A4464" w:rsidRDefault="003A4464" w14:paraId="380ED7C6" w14:textId="77777777"/>
    <w:p w:rsidR="003A4464" w:rsidRDefault="003A4464" w14:paraId="2C789C59" w14:textId="77777777"/>
    <w:p w:rsidR="003A4464" w:rsidRDefault="003A4464" w14:paraId="2A12DEDF" w14:textId="77777777"/>
    <w:p w:rsidR="003A4464" w:rsidRDefault="003A4464" w14:paraId="30FCD100" w14:textId="77777777"/>
    <w:p w:rsidR="003A4464" w:rsidRDefault="003A4464" w14:paraId="6DEACB7B" w14:textId="77777777"/>
    <w:p w:rsidR="003A4464" w:rsidRDefault="003A4464" w14:paraId="638D2FC2" w14:textId="77777777"/>
    <w:p w:rsidR="003A4464" w:rsidRDefault="003A4464" w14:paraId="3A6E0BE7" w14:textId="77777777"/>
    <w:p w:rsidR="003A4464" w:rsidRDefault="003A4464" w14:paraId="2ACB825F" w14:textId="77777777"/>
    <w:p w:rsidR="003A4464" w:rsidRDefault="003A4464" w14:paraId="5C554E1A" w14:textId="77777777"/>
    <w:p w:rsidR="003A4464" w:rsidRDefault="003A4464" w14:paraId="4FA2223F" w14:textId="77777777"/>
    <w:p w:rsidR="003A4464" w:rsidRDefault="003A4464" w14:paraId="1A08ACD2" w14:textId="77777777"/>
    <w:p w:rsidR="003A4464" w:rsidRDefault="003A4464" w14:paraId="59DAB746" w14:textId="77777777"/>
    <w:p w:rsidR="003A4464" w:rsidRDefault="003A4464" w14:paraId="36B5E11B" w14:textId="77777777"/>
    <w:p w:rsidR="003A4464" w:rsidP="003A4464" w:rsidRDefault="003A4464" w14:paraId="7A899921" w14:textId="77777777">
      <w:pPr>
        <w:rPr>
          <w:b/>
          <w:bCs/>
        </w:rPr>
      </w:pPr>
      <w:r w:rsidRPr="003A4464">
        <w:rPr>
          <w:b/>
          <w:bCs/>
        </w:rPr>
        <w:lastRenderedPageBreak/>
        <w:t>For programs that have identified significant changes that necessitate additional resource requests, answer the following questions for each separate resource request:</w:t>
      </w:r>
    </w:p>
    <w:p w:rsidRPr="003A4464" w:rsidR="003A4464" w:rsidP="003A4464" w:rsidRDefault="003A4464" w14:paraId="0BC47C68" w14:textId="77777777">
      <w:pPr>
        <w:rPr>
          <w:b/>
          <w:bCs/>
        </w:rPr>
      </w:pPr>
    </w:p>
    <w:p w:rsidR="003A4464" w:rsidP="003A4464" w:rsidRDefault="003A4464" w14:paraId="0BE5472D" w14:textId="77777777">
      <w:pPr>
        <w:numPr>
          <w:ilvl w:val="0"/>
          <w:numId w:val="7"/>
        </w:numPr>
        <w:rPr>
          <w:b/>
          <w:bCs/>
        </w:rPr>
      </w:pPr>
      <w:r w:rsidRPr="003A4464">
        <w:rPr>
          <w:b/>
          <w:bCs/>
        </w:rPr>
        <w:t>Briefly describe your resource request.</w:t>
      </w:r>
    </w:p>
    <w:p w:rsidR="003A4464" w:rsidP="003A4464" w:rsidRDefault="003A4464" w14:paraId="75E82EF5" w14:textId="77777777"/>
    <w:p w:rsidR="007C52D7" w:rsidP="007C52D7" w:rsidRDefault="007C52D7" w14:paraId="4C8060DF" w14:textId="77777777">
      <w:r>
        <w:t xml:space="preserve">Our usual operating budget was/has been about $130,000. This is to pay for lab work, STI testing, Over the counter and prescription medications as well </w:t>
      </w:r>
      <w:proofErr w:type="gramStart"/>
      <w:r>
        <w:t>on site</w:t>
      </w:r>
      <w:proofErr w:type="gramEnd"/>
      <w:r>
        <w:t xml:space="preserve"> testing- such as strep or flu. We also need the funds to buy routine clinic supplies such as syringes, wound care products, and splints. Those funds are also used to participate in and host all campus events and education. The funds are used for purchasing online education to keep our practitioners up to date </w:t>
      </w:r>
      <w:proofErr w:type="gramStart"/>
      <w:r>
        <w:t>and also</w:t>
      </w:r>
      <w:proofErr w:type="gramEnd"/>
      <w:r>
        <w:t xml:space="preserve"> the licensing fees for the EMR. It also includes office supplies, copy </w:t>
      </w:r>
      <w:proofErr w:type="gramStart"/>
      <w:r>
        <w:t>machine</w:t>
      </w:r>
      <w:proofErr w:type="gramEnd"/>
      <w:r>
        <w:t xml:space="preserve"> and printer upkeep. </w:t>
      </w:r>
    </w:p>
    <w:p w:rsidR="007C52D7" w:rsidP="007C52D7" w:rsidRDefault="007C52D7" w14:paraId="741123CD" w14:textId="77777777">
      <w:r>
        <w:t xml:space="preserve">We were sent a memo that we would be allotted this amount- $131,546.00- to be exact but our account was populated with $60,000 only. This leaves us unable to provide the same level of service. </w:t>
      </w:r>
    </w:p>
    <w:p w:rsidR="007C52D7" w:rsidP="007C52D7" w:rsidRDefault="007C52D7" w14:paraId="509752AD" w14:textId="77777777">
      <w:r>
        <w:t>It is very concerning that we have been unable to determine what happened and I believe our finance area is working on it.</w:t>
      </w:r>
    </w:p>
    <w:p w:rsidR="007C52D7" w:rsidP="007C52D7" w:rsidRDefault="007C52D7" w14:paraId="6B3D61BD" w14:textId="584BA391">
      <w:r>
        <w:t>We are requesting $70,000 to make up for the short fall in our operating budget.</w:t>
      </w:r>
    </w:p>
    <w:p w:rsidRPr="00787B5D" w:rsidR="007C52D7" w:rsidP="007C52D7" w:rsidRDefault="007C52D7" w14:paraId="639B5382" w14:textId="77777777"/>
    <w:p w:rsidR="003A4464" w:rsidP="003A4464" w:rsidRDefault="003A4464" w14:paraId="675E743F" w14:textId="77777777">
      <w:pPr>
        <w:numPr>
          <w:ilvl w:val="0"/>
          <w:numId w:val="7"/>
        </w:numPr>
        <w:rPr>
          <w:b/>
          <w:bCs/>
        </w:rPr>
      </w:pPr>
      <w:r w:rsidRPr="003A4464">
        <w:rPr>
          <w:b/>
          <w:bCs/>
        </w:rPr>
        <w:t xml:space="preserve">Is this request related to an essential safety need? </w:t>
      </w:r>
    </w:p>
    <w:p w:rsidR="003A4464" w:rsidP="003A4464" w:rsidRDefault="003A4464" w14:paraId="2D9E8FD8" w14:textId="77777777"/>
    <w:p w:rsidRPr="00787B5D" w:rsidR="007C52D7" w:rsidP="003A4464" w:rsidRDefault="007C52D7" w14:paraId="11903F60" w14:textId="72D2F619">
      <w:r w:rsidRPr="007C52D7">
        <w:t>Yes</w:t>
      </w:r>
    </w:p>
    <w:p w:rsidRPr="003A4464" w:rsidR="003A4464" w:rsidP="003A4464" w:rsidRDefault="003A4464" w14:paraId="37012E15" w14:textId="77777777">
      <w:pPr>
        <w:rPr>
          <w:b/>
          <w:bCs/>
        </w:rPr>
      </w:pPr>
    </w:p>
    <w:p w:rsidRPr="003A4464" w:rsidR="003A4464" w:rsidP="003A4464" w:rsidRDefault="003A4464" w14:paraId="4351A296" w14:textId="77777777">
      <w:pPr>
        <w:rPr>
          <w:b/>
          <w:bCs/>
        </w:rPr>
      </w:pPr>
      <w:r w:rsidRPr="003A4464">
        <w:rPr>
          <w:b/>
          <w:bCs/>
        </w:rPr>
        <w:t>Please explain how this resource will help your program meet an essential safety need.</w:t>
      </w:r>
    </w:p>
    <w:p w:rsidR="00AC4161" w:rsidP="003A4464" w:rsidRDefault="00AC4161" w14:paraId="692EBFD5" w14:textId="77777777"/>
    <w:p w:rsidR="007C52D7" w:rsidP="007C52D7" w:rsidRDefault="007C52D7" w14:paraId="78BFE1F6" w14:textId="77777777">
      <w:proofErr w:type="gramStart"/>
      <w:r>
        <w:t>Attending to</w:t>
      </w:r>
      <w:proofErr w:type="gramEnd"/>
      <w:r>
        <w:t xml:space="preserve"> students' medical needs is our mission. We need the proper funding to meet the needs as they present themselves. We need to fund our supplies </w:t>
      </w:r>
      <w:proofErr w:type="gramStart"/>
      <w:r>
        <w:t>in order to</w:t>
      </w:r>
      <w:proofErr w:type="gramEnd"/>
      <w:r>
        <w:t xml:space="preserve"> meet students' medical needs. We often function like an urgent care clinic and care for students who walk in with various ailments and injuries. As our supplies are used- we must replenish them to provide them to students as needed. </w:t>
      </w:r>
    </w:p>
    <w:p w:rsidR="007C52D7" w:rsidP="007C52D7" w:rsidRDefault="007C52D7" w14:paraId="7E4B69D2" w14:textId="744C8FDA">
      <w:r>
        <w:t xml:space="preserve">As we </w:t>
      </w:r>
      <w:proofErr w:type="gramStart"/>
      <w:r>
        <w:t>prepare</w:t>
      </w:r>
      <w:proofErr w:type="gramEnd"/>
      <w:r>
        <w:t xml:space="preserve"> to move into the new SHS in the Chapman-Newell building- we will need to have the means to provide safe medical care. If we have a beautiful new building without the </w:t>
      </w:r>
      <w:proofErr w:type="gramStart"/>
      <w:r>
        <w:t>necessary</w:t>
      </w:r>
      <w:proofErr w:type="gramEnd"/>
      <w:r>
        <w:t xml:space="preserve"> inventory- we will not be serving our community or keeping them safe.</w:t>
      </w:r>
    </w:p>
    <w:p w:rsidR="007C52D7" w:rsidP="007C52D7" w:rsidRDefault="007C52D7" w14:paraId="47B08D37" w14:textId="77777777"/>
    <w:p w:rsidRPr="00787B5D" w:rsidR="00E926DE" w:rsidRDefault="002076A6" w14:paraId="4182466A" w14:textId="77777777">
      <w:pPr>
        <w:pStyle w:val="BodyText"/>
        <w:spacing w:before="25"/>
        <w:rPr>
          <w:b/>
          <w:bCs/>
        </w:rPr>
      </w:pPr>
      <w:r w:rsidRPr="002076A6">
        <w:rPr>
          <w:b/>
          <w:bCs/>
        </w:rPr>
        <w:t>For each separate resource request, complete this chart with the itemized requested dollar amount</w:t>
      </w:r>
      <w:r w:rsidRPr="00787B5D" w:rsidR="003A4464">
        <w:rPr>
          <w:b/>
          <w:bCs/>
        </w:rPr>
        <w:t>:</w:t>
      </w:r>
    </w:p>
    <w:p w:rsidR="003A4464" w:rsidRDefault="003A4464" w14:paraId="3DD429E6"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3A4464" w14:paraId="18F8F3F7" w14:textId="77777777">
        <w:trPr>
          <w:trHeight w:val="872"/>
        </w:trPr>
        <w:tc>
          <w:tcPr>
            <w:tcW w:w="3050" w:type="dxa"/>
            <w:shd w:val="clear" w:color="auto" w:fill="22405F"/>
          </w:tcPr>
          <w:p w:rsidR="003A4464" w:rsidRDefault="003A4464" w14:paraId="0F582AC8" w14:textId="77777777">
            <w:pPr>
              <w:pStyle w:val="TableParagraph"/>
              <w:spacing w:before="57"/>
            </w:pPr>
          </w:p>
          <w:p w:rsidR="003A4464" w:rsidRDefault="003A4464" w14:paraId="446E0669"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3A4464" w:rsidRDefault="003A4464" w14:paraId="4BF8B61F" w14:textId="77777777">
            <w:pPr>
              <w:pStyle w:val="TableParagraph"/>
              <w:spacing w:before="57"/>
            </w:pPr>
          </w:p>
          <w:p w:rsidR="003A4464" w:rsidRDefault="003A4464" w14:paraId="1F6FA425" w14:textId="77777777">
            <w:pPr>
              <w:pStyle w:val="TableParagraph"/>
              <w:ind w:left="108"/>
              <w:rPr>
                <w:b/>
              </w:rPr>
            </w:pPr>
          </w:p>
        </w:tc>
      </w:tr>
      <w:tr w:rsidR="003A4464" w14:paraId="41F81B9C" w14:textId="77777777">
        <w:trPr>
          <w:trHeight w:val="601"/>
        </w:trPr>
        <w:tc>
          <w:tcPr>
            <w:tcW w:w="3050" w:type="dxa"/>
          </w:tcPr>
          <w:p w:rsidR="003A4464" w:rsidRDefault="003A4464" w14:paraId="21B3FA03" w14:textId="77777777">
            <w:pPr>
              <w:pStyle w:val="TableParagraph"/>
              <w:spacing w:before="173"/>
              <w:ind w:left="328"/>
            </w:pPr>
            <w:r>
              <w:rPr>
                <w:spacing w:val="-2"/>
              </w:rPr>
              <w:t>Personnel</w:t>
            </w:r>
          </w:p>
        </w:tc>
        <w:tc>
          <w:tcPr>
            <w:tcW w:w="2851" w:type="dxa"/>
          </w:tcPr>
          <w:p w:rsidR="003A4464" w:rsidP="003A4464" w:rsidRDefault="003A4464" w14:paraId="108B102C" w14:textId="77777777">
            <w:pPr>
              <w:pStyle w:val="TableParagraph"/>
              <w:spacing w:before="173"/>
              <w:jc w:val="center"/>
            </w:pPr>
          </w:p>
        </w:tc>
      </w:tr>
      <w:tr w:rsidR="003A4464" w14:paraId="26549550" w14:textId="77777777">
        <w:trPr>
          <w:trHeight w:val="599"/>
        </w:trPr>
        <w:tc>
          <w:tcPr>
            <w:tcW w:w="3050" w:type="dxa"/>
          </w:tcPr>
          <w:p w:rsidR="003A4464" w:rsidRDefault="003A4464" w14:paraId="66480F47" w14:textId="77777777">
            <w:pPr>
              <w:pStyle w:val="TableParagraph"/>
              <w:spacing w:before="171"/>
              <w:ind w:left="328"/>
            </w:pPr>
            <w:r>
              <w:rPr>
                <w:spacing w:val="-2"/>
              </w:rPr>
              <w:t>Facilities</w:t>
            </w:r>
          </w:p>
        </w:tc>
        <w:tc>
          <w:tcPr>
            <w:tcW w:w="2851" w:type="dxa"/>
          </w:tcPr>
          <w:p w:rsidR="003A4464" w:rsidRDefault="003A4464" w14:paraId="757F0E4D" w14:textId="77777777">
            <w:pPr>
              <w:pStyle w:val="TableParagraph"/>
              <w:rPr>
                <w:sz w:val="20"/>
              </w:rPr>
            </w:pPr>
          </w:p>
        </w:tc>
      </w:tr>
      <w:tr w:rsidR="003A4464" w14:paraId="5261EADC" w14:textId="77777777">
        <w:trPr>
          <w:trHeight w:val="601"/>
        </w:trPr>
        <w:tc>
          <w:tcPr>
            <w:tcW w:w="3050" w:type="dxa"/>
          </w:tcPr>
          <w:p w:rsidR="003A4464" w:rsidRDefault="003A4464" w14:paraId="15F0E2ED" w14:textId="77777777">
            <w:pPr>
              <w:pStyle w:val="TableParagraph"/>
              <w:spacing w:before="173"/>
              <w:ind w:left="328"/>
            </w:pPr>
            <w:r>
              <w:rPr>
                <w:spacing w:val="-2"/>
              </w:rPr>
              <w:t>Supplies</w:t>
            </w:r>
          </w:p>
        </w:tc>
        <w:tc>
          <w:tcPr>
            <w:tcW w:w="2851" w:type="dxa"/>
          </w:tcPr>
          <w:p w:rsidR="003A4464" w:rsidRDefault="007C52D7" w14:paraId="553E4ECD" w14:textId="0C5A19EC">
            <w:pPr>
              <w:pStyle w:val="TableParagraph"/>
              <w:rPr>
                <w:sz w:val="20"/>
              </w:rPr>
            </w:pPr>
            <w:r w:rsidRPr="007C52D7">
              <w:rPr>
                <w:sz w:val="20"/>
              </w:rPr>
              <w:t>$49,200- supplies as noted above.</w:t>
            </w:r>
          </w:p>
        </w:tc>
      </w:tr>
      <w:tr w:rsidR="003A4464" w14:paraId="19A7EC0F" w14:textId="77777777">
        <w:trPr>
          <w:trHeight w:val="599"/>
        </w:trPr>
        <w:tc>
          <w:tcPr>
            <w:tcW w:w="3050" w:type="dxa"/>
          </w:tcPr>
          <w:p w:rsidR="003A4464" w:rsidRDefault="003A4464" w14:paraId="117BD257" w14:textId="77777777">
            <w:pPr>
              <w:pStyle w:val="TableParagraph"/>
              <w:spacing w:before="171"/>
              <w:ind w:left="328"/>
            </w:pPr>
            <w:r>
              <w:t>Computer</w:t>
            </w:r>
            <w:r>
              <w:rPr>
                <w:spacing w:val="-5"/>
              </w:rPr>
              <w:t xml:space="preserve"> </w:t>
            </w:r>
            <w:r>
              <w:rPr>
                <w:spacing w:val="-2"/>
              </w:rPr>
              <w:t>Hardware</w:t>
            </w:r>
          </w:p>
        </w:tc>
        <w:tc>
          <w:tcPr>
            <w:tcW w:w="2851" w:type="dxa"/>
          </w:tcPr>
          <w:p w:rsidR="003A4464" w:rsidRDefault="003A4464" w14:paraId="564113F8" w14:textId="77777777">
            <w:pPr>
              <w:pStyle w:val="TableParagraph"/>
              <w:rPr>
                <w:sz w:val="20"/>
              </w:rPr>
            </w:pPr>
          </w:p>
        </w:tc>
      </w:tr>
      <w:tr w:rsidR="003A4464" w14:paraId="0E753D50" w14:textId="77777777">
        <w:trPr>
          <w:trHeight w:val="599"/>
        </w:trPr>
        <w:tc>
          <w:tcPr>
            <w:tcW w:w="3050" w:type="dxa"/>
          </w:tcPr>
          <w:p w:rsidR="003A4464" w:rsidRDefault="003A4464" w14:paraId="5A17C28E" w14:textId="77777777">
            <w:pPr>
              <w:pStyle w:val="TableParagraph"/>
              <w:spacing w:before="173"/>
              <w:ind w:left="328"/>
            </w:pPr>
            <w:r>
              <w:t>Computer</w:t>
            </w:r>
            <w:r>
              <w:rPr>
                <w:spacing w:val="-3"/>
              </w:rPr>
              <w:t xml:space="preserve"> </w:t>
            </w:r>
            <w:r>
              <w:rPr>
                <w:spacing w:val="-2"/>
              </w:rPr>
              <w:t>Software</w:t>
            </w:r>
          </w:p>
        </w:tc>
        <w:tc>
          <w:tcPr>
            <w:tcW w:w="2851" w:type="dxa"/>
          </w:tcPr>
          <w:p w:rsidR="003A4464" w:rsidRDefault="007C52D7" w14:paraId="5C8FA9E2" w14:textId="16E25F3D">
            <w:pPr>
              <w:pStyle w:val="TableParagraph"/>
              <w:rPr>
                <w:sz w:val="20"/>
              </w:rPr>
            </w:pPr>
            <w:r w:rsidRPr="007C52D7">
              <w:rPr>
                <w:sz w:val="20"/>
              </w:rPr>
              <w:t>14,400 for licensing fee for EMR.</w:t>
            </w:r>
          </w:p>
        </w:tc>
      </w:tr>
      <w:tr w:rsidR="003A4464" w14:paraId="547D6BE7" w14:textId="77777777">
        <w:trPr>
          <w:trHeight w:val="601"/>
        </w:trPr>
        <w:tc>
          <w:tcPr>
            <w:tcW w:w="3050" w:type="dxa"/>
          </w:tcPr>
          <w:p w:rsidR="003A4464" w:rsidRDefault="003A4464" w14:paraId="42BDE35B" w14:textId="77777777">
            <w:pPr>
              <w:pStyle w:val="TableParagraph"/>
              <w:spacing w:before="173"/>
              <w:ind w:left="328"/>
            </w:pPr>
            <w:r>
              <w:rPr>
                <w:spacing w:val="-2"/>
              </w:rPr>
              <w:t>Training</w:t>
            </w:r>
          </w:p>
        </w:tc>
        <w:tc>
          <w:tcPr>
            <w:tcW w:w="2851" w:type="dxa"/>
          </w:tcPr>
          <w:p w:rsidR="003A4464" w:rsidRDefault="007C52D7" w14:paraId="09C7E3DE" w14:textId="704A079B">
            <w:pPr>
              <w:pStyle w:val="TableParagraph"/>
              <w:rPr>
                <w:sz w:val="20"/>
              </w:rPr>
            </w:pPr>
            <w:r w:rsidRPr="007C52D7">
              <w:rPr>
                <w:sz w:val="20"/>
              </w:rPr>
              <w:t xml:space="preserve">$4400- online educational tools for providers, access to American College Health Assoc, Peer Health educator training through NASPA, medical texts. Send someone to </w:t>
            </w:r>
            <w:proofErr w:type="gramStart"/>
            <w:r w:rsidRPr="007C52D7">
              <w:rPr>
                <w:sz w:val="20"/>
              </w:rPr>
              <w:t>ACHA</w:t>
            </w:r>
            <w:proofErr w:type="gramEnd"/>
            <w:r w:rsidRPr="007C52D7">
              <w:rPr>
                <w:sz w:val="20"/>
              </w:rPr>
              <w:t xml:space="preserve"> other appropriate conference.</w:t>
            </w:r>
          </w:p>
        </w:tc>
      </w:tr>
      <w:tr w:rsidR="003A4464" w14:paraId="04FFEE83" w14:textId="77777777">
        <w:trPr>
          <w:trHeight w:val="599"/>
        </w:trPr>
        <w:tc>
          <w:tcPr>
            <w:tcW w:w="3050" w:type="dxa"/>
          </w:tcPr>
          <w:p w:rsidR="003A4464" w:rsidRDefault="003A4464" w14:paraId="6AA155DB" w14:textId="77777777">
            <w:pPr>
              <w:pStyle w:val="TableParagraph"/>
              <w:spacing w:before="171"/>
              <w:ind w:left="328"/>
            </w:pPr>
            <w:r>
              <w:rPr>
                <w:spacing w:val="-2"/>
              </w:rPr>
              <w:lastRenderedPageBreak/>
              <w:t>Other</w:t>
            </w:r>
          </w:p>
        </w:tc>
        <w:tc>
          <w:tcPr>
            <w:tcW w:w="2851" w:type="dxa"/>
          </w:tcPr>
          <w:p w:rsidR="003A4464" w:rsidRDefault="007C52D7" w14:paraId="4A67A3B3" w14:textId="44CE46CE">
            <w:pPr>
              <w:pStyle w:val="TableParagraph"/>
              <w:rPr>
                <w:sz w:val="20"/>
              </w:rPr>
            </w:pPr>
            <w:r w:rsidRPr="007C52D7">
              <w:rPr>
                <w:sz w:val="20"/>
              </w:rPr>
              <w:t xml:space="preserve">$2000- Healthy Minds or </w:t>
            </w:r>
            <w:proofErr w:type="spellStart"/>
            <w:r w:rsidRPr="007C52D7">
              <w:rPr>
                <w:sz w:val="20"/>
              </w:rPr>
              <w:t>Acha</w:t>
            </w:r>
            <w:proofErr w:type="spellEnd"/>
            <w:r w:rsidRPr="007C52D7">
              <w:rPr>
                <w:sz w:val="20"/>
              </w:rPr>
              <w:t>/Natcha survey</w:t>
            </w:r>
          </w:p>
        </w:tc>
      </w:tr>
      <w:tr w:rsidR="003A4464" w14:paraId="11E31F57" w14:textId="77777777">
        <w:trPr>
          <w:trHeight w:val="601"/>
        </w:trPr>
        <w:tc>
          <w:tcPr>
            <w:tcW w:w="3050" w:type="dxa"/>
          </w:tcPr>
          <w:p w:rsidR="003A4464" w:rsidRDefault="003A4464" w14:paraId="696DBAF4"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3A4464" w:rsidP="003A4464" w:rsidRDefault="003A4464" w14:paraId="31AA18A7" w14:textId="77777777">
            <w:pPr>
              <w:pStyle w:val="TableParagraph"/>
              <w:jc w:val="center"/>
              <w:rPr>
                <w:sz w:val="20"/>
              </w:rPr>
            </w:pPr>
          </w:p>
          <w:p w:rsidR="003A4464" w:rsidP="003A4464" w:rsidRDefault="003A4464" w14:paraId="65809BBA" w14:textId="77777777">
            <w:pPr>
              <w:pStyle w:val="TableParagraph"/>
              <w:jc w:val="center"/>
              <w:rPr>
                <w:sz w:val="20"/>
              </w:rPr>
            </w:pPr>
          </w:p>
        </w:tc>
      </w:tr>
    </w:tbl>
    <w:p w:rsidR="009459C6" w:rsidRDefault="009459C6" w14:paraId="51360E3E"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3A4464" w:rsidTr="003A4464" w14:paraId="1151D396" w14:textId="77777777">
        <w:trPr>
          <w:tblCellSpacing w:w="15" w:type="dxa"/>
        </w:trPr>
        <w:tc>
          <w:tcPr>
            <w:tcW w:w="14659" w:type="dxa"/>
            <w:hideMark/>
          </w:tcPr>
          <w:p w:rsidR="00724C71" w:rsidP="003A4464" w:rsidRDefault="003A4464" w14:paraId="21CD3EDC" w14:textId="77777777">
            <w:pPr>
              <w:rPr>
                <w:b/>
                <w:bCs/>
              </w:rPr>
            </w:pPr>
            <w:r w:rsidRPr="003A4464">
              <w:rPr>
                <w:b/>
                <w:bCs/>
              </w:rPr>
              <w:t>Is the funding requested ongoing or one-time funding?</w:t>
            </w:r>
          </w:p>
          <w:p w:rsidR="00787B5D" w:rsidP="003A4464" w:rsidRDefault="00787B5D" w14:paraId="59F14BB2" w14:textId="77777777"/>
          <w:p w:rsidR="007C52D7" w:rsidP="003A4464" w:rsidRDefault="007C52D7" w14:paraId="4B65BBDA" w14:textId="665CEAA6">
            <w:r w:rsidRPr="007C52D7">
              <w:t>One-time funding</w:t>
            </w:r>
          </w:p>
          <w:p w:rsidRPr="00787B5D" w:rsidR="007C52D7" w:rsidP="003A4464" w:rsidRDefault="007C52D7" w14:paraId="73057FA7" w14:textId="77777777"/>
          <w:p w:rsidRPr="003A4464" w:rsidR="003A4464" w:rsidP="003A4464" w:rsidRDefault="003A4464" w14:paraId="18F1DA56" w14:textId="77777777"/>
        </w:tc>
      </w:tr>
      <w:tr w:rsidRPr="003A4464" w:rsidR="003A4464" w:rsidTr="003A4464" w14:paraId="1FF5316C" w14:textId="77777777">
        <w:trPr>
          <w:tblCellSpacing w:w="15" w:type="dxa"/>
        </w:trPr>
        <w:tc>
          <w:tcPr>
            <w:tcW w:w="14659" w:type="dxa"/>
            <w:hideMark/>
          </w:tcPr>
          <w:p w:rsidRPr="003A4464" w:rsidR="003A4464" w:rsidP="003A4464" w:rsidRDefault="003A4464" w14:paraId="0B2ED9C4" w14:textId="77777777">
            <w:pPr>
              <w:rPr>
                <w:b/>
                <w:bCs/>
              </w:rPr>
            </w:pPr>
            <w:r w:rsidRPr="003A4464">
              <w:rPr>
                <w:b/>
                <w:bCs/>
              </w:rPr>
              <w:t>Is the funding requested for </w:t>
            </w:r>
            <w:hyperlink w:history="1" r:id="rId9">
              <w:r w:rsidRPr="003A4464">
                <w:rPr>
                  <w:rStyle w:val="Hyperlink"/>
                  <w:b/>
                  <w:bCs/>
                </w:rPr>
                <w:t>enrollment and reengagement activities?</w:t>
              </w:r>
            </w:hyperlink>
          </w:p>
          <w:p w:rsidR="003A4464" w:rsidP="003A4464" w:rsidRDefault="003A4464" w14:paraId="1F64F77E" w14:textId="77777777"/>
          <w:p w:rsidR="007C52D7" w:rsidP="003A4464" w:rsidRDefault="007C52D7" w14:paraId="3AF08D74" w14:textId="0983C020">
            <w:r w:rsidRPr="007C52D7">
              <w:t>No</w:t>
            </w:r>
          </w:p>
          <w:p w:rsidRPr="003A4464" w:rsidR="003A4464" w:rsidP="003A4464" w:rsidRDefault="003A4464" w14:paraId="7F775497" w14:textId="77777777"/>
        </w:tc>
      </w:tr>
    </w:tbl>
    <w:p w:rsidR="003A4464" w:rsidRDefault="003A4464" w14:paraId="1C75CCC9" w14:textId="77777777"/>
    <w:sectPr w:rsidR="003A4464">
      <w:footerReference w:type="default" r:id="rId10"/>
      <w:pgSz w:w="12240" w:h="15840" w:orient="portrait"/>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4B2F" w:rsidRDefault="00174B2F" w14:paraId="75CE222A" w14:textId="77777777">
      <w:r>
        <w:separator/>
      </w:r>
    </w:p>
  </w:endnote>
  <w:endnote w:type="continuationSeparator" w:id="0">
    <w:p w:rsidR="00174B2F" w:rsidRDefault="00174B2F" w14:paraId="5683BC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273575D7"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B57C3B0" wp14:editId="30FB0F0E">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5404F01A">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A7D56F1" wp14:editId="257D20A3">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5CCD6D80"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2A7D56F1">
              <v:stroke joinstyle="miter"/>
              <v:path gradientshapeok="t" o:connecttype="rect"/>
            </v:shapetype>
            <v:shape id="Textbox 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v:textbox inset="0,0,0,0">
                <w:txbxContent>
                  <w:p w:rsidR="00E926DE" w:rsidRDefault="009459C6" w14:paraId="5CCD6D80"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3351038A" w14:textId="77777777">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C59D2D3" wp14:editId="2CF9B8AD">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3"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021B12E7">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32E9E64" wp14:editId="2E7F1821">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122BC736"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032E9E64">
              <v:stroke joinstyle="miter"/>
              <v:path gradientshapeok="t" o:connecttype="rect"/>
            </v:shapetype>
            <v:shape id="Textbox 14"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v:textbox inset="0,0,0,0">
                <w:txbxContent>
                  <w:p w:rsidR="00E926DE" w:rsidRDefault="009459C6" w14:paraId="122BC736"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4B2F" w:rsidRDefault="00174B2F" w14:paraId="23A44754" w14:textId="77777777">
      <w:r>
        <w:separator/>
      </w:r>
    </w:p>
  </w:footnote>
  <w:footnote w:type="continuationSeparator" w:id="0">
    <w:p w:rsidR="00174B2F" w:rsidRDefault="00174B2F" w14:paraId="72629D2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D218765C">
      <w:numFmt w:val="bullet"/>
      <w:lvlText w:val=""/>
      <w:lvlJc w:val="left"/>
      <w:pPr>
        <w:ind w:left="860" w:hanging="360"/>
      </w:pPr>
      <w:rPr>
        <w:rFonts w:hint="default" w:ascii="Symbol" w:hAnsi="Symbol" w:eastAsia="Symbol" w:cs="Symbol"/>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hint="default" w:ascii="Symbol" w:hAnsi="Symbol" w:eastAsia="Symbol" w:cs="Symbol"/>
        <w:spacing w:val="0"/>
        <w:w w:val="100"/>
        <w:lang w:val="en-US" w:eastAsia="en-US" w:bidi="ar-SA"/>
      </w:rPr>
    </w:lvl>
    <w:lvl w:ilvl="1" w:tplc="D74C20D6">
      <w:numFmt w:val="bullet"/>
      <w:lvlText w:val=""/>
      <w:lvlJc w:val="left"/>
      <w:pPr>
        <w:ind w:left="1097" w:hanging="358"/>
      </w:pPr>
      <w:rPr>
        <w:rFonts w:hint="default" w:ascii="Symbol" w:hAnsi="Symbol" w:eastAsia="Symbol" w:cs="Symbol"/>
        <w:b w:val="0"/>
        <w:bCs w:val="0"/>
        <w:i w:val="0"/>
        <w:iCs w:val="0"/>
        <w:spacing w:val="0"/>
        <w:w w:val="95"/>
        <w:sz w:val="20"/>
        <w:szCs w:val="20"/>
        <w:lang w:val="en-US" w:eastAsia="en-US" w:bidi="ar-SA"/>
      </w:rPr>
    </w:lvl>
    <w:lvl w:ilvl="2" w:tplc="29F8900C">
      <w:numFmt w:val="bullet"/>
      <w:lvlText w:val="•"/>
      <w:lvlJc w:val="left"/>
      <w:pPr>
        <w:ind w:left="1992" w:hanging="358"/>
      </w:pPr>
      <w:rPr>
        <w:rFonts w:hint="default" w:ascii="Times New Roman" w:hAnsi="Times New Roman" w:eastAsia="Times New Roman" w:cs="Times New Roman"/>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hint="default" w:ascii="Symbol" w:hAnsi="Symbol"/>
      </w:rPr>
    </w:lvl>
    <w:lvl w:ilvl="1" w:tplc="ECD41056">
      <w:start w:val="1"/>
      <w:numFmt w:val="bullet"/>
      <w:lvlText w:val="o"/>
      <w:lvlJc w:val="left"/>
      <w:pPr>
        <w:ind w:left="1440" w:hanging="360"/>
      </w:pPr>
      <w:rPr>
        <w:rFonts w:hint="default" w:ascii="Courier New" w:hAnsi="Courier New"/>
      </w:rPr>
    </w:lvl>
    <w:lvl w:ilvl="2" w:tplc="350ED69E">
      <w:start w:val="1"/>
      <w:numFmt w:val="bullet"/>
      <w:lvlText w:val=""/>
      <w:lvlJc w:val="left"/>
      <w:pPr>
        <w:ind w:left="2160" w:hanging="360"/>
      </w:pPr>
      <w:rPr>
        <w:rFonts w:hint="default" w:ascii="Wingdings" w:hAnsi="Wingdings"/>
      </w:rPr>
    </w:lvl>
    <w:lvl w:ilvl="3" w:tplc="0D80674A">
      <w:start w:val="1"/>
      <w:numFmt w:val="bullet"/>
      <w:lvlText w:val=""/>
      <w:lvlJc w:val="left"/>
      <w:pPr>
        <w:ind w:left="2880" w:hanging="360"/>
      </w:pPr>
      <w:rPr>
        <w:rFonts w:hint="default" w:ascii="Symbol" w:hAnsi="Symbol"/>
      </w:rPr>
    </w:lvl>
    <w:lvl w:ilvl="4" w:tplc="E1E2376C">
      <w:start w:val="1"/>
      <w:numFmt w:val="bullet"/>
      <w:lvlText w:val="o"/>
      <w:lvlJc w:val="left"/>
      <w:pPr>
        <w:ind w:left="3600" w:hanging="360"/>
      </w:pPr>
      <w:rPr>
        <w:rFonts w:hint="default" w:ascii="Courier New" w:hAnsi="Courier New"/>
      </w:rPr>
    </w:lvl>
    <w:lvl w:ilvl="5" w:tplc="942620E2">
      <w:start w:val="1"/>
      <w:numFmt w:val="bullet"/>
      <w:lvlText w:val=""/>
      <w:lvlJc w:val="left"/>
      <w:pPr>
        <w:ind w:left="4320" w:hanging="360"/>
      </w:pPr>
      <w:rPr>
        <w:rFonts w:hint="default" w:ascii="Wingdings" w:hAnsi="Wingdings"/>
      </w:rPr>
    </w:lvl>
    <w:lvl w:ilvl="6" w:tplc="E86625F6">
      <w:start w:val="1"/>
      <w:numFmt w:val="bullet"/>
      <w:lvlText w:val=""/>
      <w:lvlJc w:val="left"/>
      <w:pPr>
        <w:ind w:left="5040" w:hanging="360"/>
      </w:pPr>
      <w:rPr>
        <w:rFonts w:hint="default" w:ascii="Symbol" w:hAnsi="Symbol"/>
      </w:rPr>
    </w:lvl>
    <w:lvl w:ilvl="7" w:tplc="9FBC6C12">
      <w:start w:val="1"/>
      <w:numFmt w:val="bullet"/>
      <w:lvlText w:val="o"/>
      <w:lvlJc w:val="left"/>
      <w:pPr>
        <w:ind w:left="5760" w:hanging="360"/>
      </w:pPr>
      <w:rPr>
        <w:rFonts w:hint="default" w:ascii="Courier New" w:hAnsi="Courier New"/>
      </w:rPr>
    </w:lvl>
    <w:lvl w:ilvl="8" w:tplc="88521922">
      <w:start w:val="1"/>
      <w:numFmt w:val="bullet"/>
      <w:lvlText w:val=""/>
      <w:lvlJc w:val="left"/>
      <w:pPr>
        <w:ind w:left="6480" w:hanging="360"/>
      </w:pPr>
      <w:rPr>
        <w:rFonts w:hint="default" w:ascii="Wingdings" w:hAnsi="Wingdings"/>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mailMerge>
    <w:mainDocumentType w:val="formLetters"/>
    <w:dataType w:val="textFile"/>
    <w:activeRecord w:val="-1"/>
  </w:mailMerg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2F"/>
    <w:rsid w:val="0005404B"/>
    <w:rsid w:val="00133090"/>
    <w:rsid w:val="00174B2F"/>
    <w:rsid w:val="00177957"/>
    <w:rsid w:val="00194E07"/>
    <w:rsid w:val="001E4E14"/>
    <w:rsid w:val="001F32B0"/>
    <w:rsid w:val="002076A6"/>
    <w:rsid w:val="00214D08"/>
    <w:rsid w:val="00235B4F"/>
    <w:rsid w:val="00260FEC"/>
    <w:rsid w:val="002D08F5"/>
    <w:rsid w:val="003102A9"/>
    <w:rsid w:val="003A09C8"/>
    <w:rsid w:val="003A4464"/>
    <w:rsid w:val="003A4B6B"/>
    <w:rsid w:val="00407851"/>
    <w:rsid w:val="0043012C"/>
    <w:rsid w:val="004D3C1F"/>
    <w:rsid w:val="00582A68"/>
    <w:rsid w:val="005D1524"/>
    <w:rsid w:val="00626632"/>
    <w:rsid w:val="006E602B"/>
    <w:rsid w:val="00724C71"/>
    <w:rsid w:val="00787B5D"/>
    <w:rsid w:val="007C52D7"/>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 w:val="1B528DB2"/>
    <w:rsid w:val="783D8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B633"/>
  <w15:docId w15:val="{879709AE-AE1B-454E-AFC2-21C8CAC6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styleId="TableParagraph" w:customStyle="1">
    <w:name w:val="Table Paragraph"/>
    <w:basedOn w:val="Normal"/>
    <w:uiPriority w:val="1"/>
    <w:qFormat/>
  </w:style>
  <w:style w:type="table" w:styleId="TableGrid">
    <w:name w:val="Table Grid"/>
    <w:basedOn w:val="TableNormal"/>
    <w:uiPriority w:val="39"/>
    <w:rsid w:val="00194E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2B4D"/>
    <w:pPr>
      <w:tabs>
        <w:tab w:val="center" w:pos="4680"/>
        <w:tab w:val="right" w:pos="9360"/>
      </w:tabs>
    </w:pPr>
  </w:style>
  <w:style w:type="character" w:styleId="HeaderChar" w:customStyle="1">
    <w:name w:val="Header Char"/>
    <w:basedOn w:val="DefaultParagraphFont"/>
    <w:link w:val="Header"/>
    <w:uiPriority w:val="99"/>
    <w:rsid w:val="00FC2B4D"/>
    <w:rPr>
      <w:rFonts w:ascii="Times New Roman" w:hAnsi="Times New Roman" w:eastAsia="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styleId="FooterChar" w:customStyle="1">
    <w:name w:val="Footer Char"/>
    <w:basedOn w:val="DefaultParagraphFont"/>
    <w:link w:val="Footer"/>
    <w:uiPriority w:val="99"/>
    <w:rsid w:val="00FC2B4D"/>
    <w:rPr>
      <w:rFonts w:ascii="Times New Roman" w:hAnsi="Times New Roman" w:eastAsia="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styleId="BodyTextChar" w:customStyle="1">
    <w:name w:val="Body Text Char"/>
    <w:basedOn w:val="DefaultParagraphFont"/>
    <w:link w:val="BodyText"/>
    <w:uiPriority w:val="1"/>
    <w:rsid w:val="00FC2B4D"/>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yperlink" Target="https://ie.fullcoll.edu/wp-content/uploads/sites/27/2024/05/ER-2.0-Program-Review-Guide.pdf" TargetMode="External" Id="rId9" /><Relationship Type="http://schemas.openxmlformats.org/officeDocument/2006/relationships/customXml" Target="../customXml/item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F49DB-987A-451D-B615-C2FB156FF21F}"/>
</file>

<file path=customXml/itemProps2.xml><?xml version="1.0" encoding="utf-8"?>
<ds:datastoreItem xmlns:ds="http://schemas.openxmlformats.org/officeDocument/2006/customXml" ds:itemID="{6DC3A276-0912-4A8C-88DF-949932C14670}"/>
</file>

<file path=customXml/itemProps3.xml><?xml version="1.0" encoding="utf-8"?>
<ds:datastoreItem xmlns:ds="http://schemas.openxmlformats.org/officeDocument/2006/customXml" ds:itemID="{96A60FF6-56A4-4F55-B961-E2221F2595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Student Services Admin Ops-2024.dotx</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APRU 2023</dc:title>
  <dc:creator>Azin Biatani</dc:creator>
  <lastModifiedBy>David Francisco Lopez</lastModifiedBy>
  <revision>2</revision>
  <dcterms:created xsi:type="dcterms:W3CDTF">2025-01-07T23:08:00.0000000Z</dcterms:created>
  <dcterms:modified xsi:type="dcterms:W3CDTF">2025-03-10T21:19:40.6832834Z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